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E756A5">
      <w:pPr>
        <w:spacing w:line="216" w:lineRule="auto"/>
        <w:jc w:val="center"/>
        <w:rPr>
          <w:rFonts w:ascii="黑体" w:hAnsi="黑体" w:eastAsia="黑体" w:cs="华文中宋"/>
          <w:bCs/>
          <w:color w:val="000000"/>
          <w:sz w:val="32"/>
          <w:szCs w:val="32"/>
        </w:rPr>
      </w:pPr>
      <w:r>
        <w:rPr>
          <w:rFonts w:hint="eastAsia" w:ascii="方正小标宋简体" w:hAnsi="方正小标宋简体" w:eastAsia="方正小标宋简体" w:cs="方正小标宋简体"/>
          <w:b/>
          <w:bCs/>
          <w:color w:val="000000"/>
          <w:sz w:val="36"/>
          <w:szCs w:val="36"/>
        </w:rPr>
        <w:t>“全国十佳新闻工作者”参选人员推荐表</w:t>
      </w:r>
    </w:p>
    <w:tbl>
      <w:tblPr>
        <w:tblStyle w:val="6"/>
        <w:tblpPr w:leftFromText="180" w:rightFromText="180" w:vertAnchor="text" w:horzAnchor="page" w:tblpX="682" w:tblpY="307"/>
        <w:tblW w:w="1056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 w:type="dxa"/>
          <w:bottom w:w="0" w:type="dxa"/>
          <w:right w:w="10" w:type="dxa"/>
        </w:tblCellMar>
      </w:tblPr>
      <w:tblGrid>
        <w:gridCol w:w="984"/>
        <w:gridCol w:w="337"/>
        <w:gridCol w:w="208"/>
        <w:gridCol w:w="892"/>
        <w:gridCol w:w="890"/>
        <w:gridCol w:w="1690"/>
        <w:gridCol w:w="1320"/>
        <w:gridCol w:w="1102"/>
        <w:gridCol w:w="458"/>
        <w:gridCol w:w="860"/>
        <w:gridCol w:w="1822"/>
      </w:tblGrid>
      <w:tr w14:paraId="72AECE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697" w:hRule="atLeast"/>
        </w:trPr>
        <w:tc>
          <w:tcPr>
            <w:tcW w:w="1529" w:type="dxa"/>
            <w:gridSpan w:val="3"/>
            <w:vAlign w:val="center"/>
          </w:tcPr>
          <w:p w14:paraId="08070D9D">
            <w:pPr>
              <w:jc w:val="center"/>
              <w:rPr>
                <w:rFonts w:ascii="仿宋_GB2312" w:eastAsia="仿宋_GB2312"/>
                <w:sz w:val="32"/>
                <w:szCs w:val="32"/>
              </w:rPr>
            </w:pPr>
            <w:r>
              <w:rPr>
                <w:rFonts w:hint="eastAsia" w:ascii="仿宋_GB2312" w:hAnsi="宋体" w:eastAsia="仿宋_GB2312"/>
                <w:color w:val="000000"/>
                <w:sz w:val="32"/>
                <w:szCs w:val="32"/>
              </w:rPr>
              <w:t>所在单位及部门</w:t>
            </w:r>
          </w:p>
        </w:tc>
        <w:tc>
          <w:tcPr>
            <w:tcW w:w="9034" w:type="dxa"/>
            <w:gridSpan w:val="8"/>
            <w:vAlign w:val="center"/>
          </w:tcPr>
          <w:p w14:paraId="0C24232C">
            <w:pPr>
              <w:jc w:val="center"/>
              <w:rPr>
                <w:rFonts w:hint="default" w:eastAsiaTheme="minorEastAsia"/>
                <w:sz w:val="32"/>
                <w:szCs w:val="32"/>
                <w:lang w:val="en-US" w:eastAsia="zh-CN"/>
              </w:rPr>
            </w:pPr>
            <w:r>
              <w:rPr>
                <w:rFonts w:hint="eastAsia" w:ascii="仿宋_GB2312" w:hAnsi="宋体" w:eastAsia="仿宋_GB2312"/>
                <w:color w:val="000000"/>
                <w:sz w:val="30"/>
                <w:szCs w:val="30"/>
                <w:lang w:val="en-US" w:eastAsia="zh-CN"/>
              </w:rPr>
              <w:t>新疆广播电视台电视新闻中心评论部</w:t>
            </w:r>
          </w:p>
        </w:tc>
      </w:tr>
      <w:tr w14:paraId="1C3EF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95" w:hRule="atLeast"/>
        </w:trPr>
        <w:tc>
          <w:tcPr>
            <w:tcW w:w="984" w:type="dxa"/>
            <w:vAlign w:val="center"/>
          </w:tcPr>
          <w:p w14:paraId="6ECCCD7B">
            <w:pPr>
              <w:jc w:val="center"/>
              <w:rPr>
                <w:rFonts w:hint="eastAsia" w:ascii="仿宋_GB2312" w:hAnsi="宋体" w:eastAsia="仿宋_GB2312"/>
                <w:color w:val="000000"/>
                <w:sz w:val="32"/>
                <w:szCs w:val="32"/>
              </w:rPr>
            </w:pPr>
            <w:r>
              <w:rPr>
                <w:rFonts w:hint="eastAsia" w:ascii="仿宋_GB2312" w:hAnsi="宋体" w:eastAsia="仿宋_GB2312"/>
                <w:color w:val="000000"/>
                <w:sz w:val="32"/>
                <w:szCs w:val="32"/>
              </w:rPr>
              <w:t>姓名</w:t>
            </w:r>
          </w:p>
        </w:tc>
        <w:tc>
          <w:tcPr>
            <w:tcW w:w="1437" w:type="dxa"/>
            <w:gridSpan w:val="3"/>
            <w:vAlign w:val="center"/>
          </w:tcPr>
          <w:p w14:paraId="5C504529">
            <w:pPr>
              <w:jc w:val="center"/>
              <w:rPr>
                <w:rFonts w:hint="default" w:ascii="仿宋_GB2312" w:hAnsi="宋体" w:eastAsia="仿宋_GB2312"/>
                <w:color w:val="000000"/>
                <w:sz w:val="32"/>
                <w:szCs w:val="32"/>
                <w:lang w:val="en-US" w:eastAsia="zh-CN"/>
              </w:rPr>
            </w:pPr>
            <w:r>
              <w:rPr>
                <w:rFonts w:hint="eastAsia" w:ascii="仿宋_GB2312" w:hAnsi="宋体" w:eastAsia="仿宋_GB2312"/>
                <w:color w:val="000000"/>
                <w:sz w:val="30"/>
                <w:szCs w:val="30"/>
                <w:lang w:val="en-US" w:eastAsia="zh-CN"/>
              </w:rPr>
              <w:t>刘慧</w:t>
            </w:r>
          </w:p>
        </w:tc>
        <w:tc>
          <w:tcPr>
            <w:tcW w:w="890" w:type="dxa"/>
            <w:vAlign w:val="center"/>
          </w:tcPr>
          <w:p w14:paraId="2A35DA9C">
            <w:pPr>
              <w:jc w:val="center"/>
              <w:rPr>
                <w:rFonts w:hint="eastAsia" w:ascii="仿宋_GB2312" w:hAnsi="宋体" w:eastAsia="仿宋_GB2312"/>
                <w:color w:val="000000"/>
                <w:sz w:val="32"/>
                <w:szCs w:val="32"/>
              </w:rPr>
            </w:pPr>
            <w:r>
              <w:rPr>
                <w:rFonts w:hint="eastAsia" w:ascii="仿宋_GB2312" w:hAnsi="宋体" w:eastAsia="仿宋_GB2312"/>
                <w:color w:val="000000"/>
                <w:sz w:val="32"/>
                <w:szCs w:val="32"/>
              </w:rPr>
              <w:t>性别</w:t>
            </w:r>
          </w:p>
        </w:tc>
        <w:tc>
          <w:tcPr>
            <w:tcW w:w="1690" w:type="dxa"/>
            <w:vAlign w:val="center"/>
          </w:tcPr>
          <w:p w14:paraId="5799B936">
            <w:pPr>
              <w:jc w:val="center"/>
              <w:rPr>
                <w:rFonts w:hint="eastAsia" w:ascii="仿宋_GB2312" w:hAnsi="宋体" w:eastAsia="仿宋_GB2312"/>
                <w:color w:val="000000"/>
                <w:sz w:val="32"/>
                <w:szCs w:val="32"/>
                <w:lang w:val="en-US" w:eastAsia="zh-CN"/>
              </w:rPr>
            </w:pPr>
            <w:r>
              <w:rPr>
                <w:rFonts w:hint="eastAsia" w:ascii="仿宋_GB2312" w:hAnsi="宋体" w:eastAsia="仿宋_GB2312"/>
                <w:color w:val="000000"/>
                <w:sz w:val="30"/>
                <w:szCs w:val="30"/>
                <w:lang w:val="en-US" w:eastAsia="zh-CN"/>
              </w:rPr>
              <w:t>女</w:t>
            </w:r>
          </w:p>
        </w:tc>
        <w:tc>
          <w:tcPr>
            <w:tcW w:w="1320" w:type="dxa"/>
            <w:vAlign w:val="center"/>
          </w:tcPr>
          <w:p w14:paraId="505CBB86">
            <w:pPr>
              <w:jc w:val="center"/>
              <w:rPr>
                <w:rFonts w:hint="eastAsia" w:ascii="仿宋_GB2312" w:hAnsi="宋体" w:eastAsia="仿宋_GB2312"/>
                <w:color w:val="000000"/>
                <w:sz w:val="32"/>
                <w:szCs w:val="32"/>
              </w:rPr>
            </w:pPr>
            <w:r>
              <w:rPr>
                <w:rFonts w:hint="eastAsia" w:ascii="仿宋_GB2312" w:hAnsi="宋体" w:eastAsia="仿宋_GB2312"/>
                <w:color w:val="000000"/>
                <w:sz w:val="32"/>
                <w:szCs w:val="32"/>
              </w:rPr>
              <w:t>出生年月</w:t>
            </w:r>
          </w:p>
        </w:tc>
        <w:tc>
          <w:tcPr>
            <w:tcW w:w="1560" w:type="dxa"/>
            <w:gridSpan w:val="2"/>
            <w:vAlign w:val="center"/>
          </w:tcPr>
          <w:p w14:paraId="0DD35D8D">
            <w:pPr>
              <w:jc w:val="center"/>
              <w:rPr>
                <w:rFonts w:hint="default" w:eastAsiaTheme="minorEastAsia"/>
                <w:sz w:val="32"/>
                <w:szCs w:val="32"/>
                <w:lang w:val="en-US" w:eastAsia="zh-CN"/>
              </w:rPr>
            </w:pPr>
            <w:r>
              <w:rPr>
                <w:rFonts w:hint="eastAsia" w:ascii="仿宋_GB2312" w:hAnsi="宋体" w:eastAsia="仿宋_GB2312"/>
                <w:color w:val="000000"/>
                <w:sz w:val="30"/>
                <w:szCs w:val="30"/>
                <w:lang w:val="en-US" w:eastAsia="zh-CN"/>
              </w:rPr>
              <w:t>1981年9月</w:t>
            </w:r>
          </w:p>
        </w:tc>
        <w:tc>
          <w:tcPr>
            <w:tcW w:w="860" w:type="dxa"/>
            <w:vAlign w:val="center"/>
          </w:tcPr>
          <w:p w14:paraId="66442481">
            <w:pPr>
              <w:jc w:val="center"/>
              <w:rPr>
                <w:sz w:val="32"/>
                <w:szCs w:val="32"/>
              </w:rPr>
            </w:pPr>
            <w:r>
              <w:rPr>
                <w:rFonts w:hint="eastAsia" w:ascii="仿宋_GB2312" w:hAnsi="宋体" w:eastAsia="仿宋_GB2312"/>
                <w:color w:val="000000"/>
                <w:sz w:val="32"/>
                <w:szCs w:val="32"/>
              </w:rPr>
              <w:t>民族</w:t>
            </w:r>
          </w:p>
        </w:tc>
        <w:tc>
          <w:tcPr>
            <w:tcW w:w="1822" w:type="dxa"/>
            <w:vAlign w:val="center"/>
          </w:tcPr>
          <w:p w14:paraId="1C0B44DE">
            <w:pPr>
              <w:jc w:val="center"/>
              <w:rPr>
                <w:rFonts w:hint="eastAsia" w:eastAsiaTheme="minorEastAsia"/>
                <w:sz w:val="32"/>
                <w:szCs w:val="32"/>
                <w:lang w:val="en-US" w:eastAsia="zh-CN"/>
              </w:rPr>
            </w:pPr>
            <w:r>
              <w:rPr>
                <w:rFonts w:hint="eastAsia" w:ascii="仿宋_GB2312" w:hAnsi="宋体" w:eastAsia="仿宋_GB2312"/>
                <w:color w:val="000000"/>
                <w:sz w:val="30"/>
                <w:szCs w:val="30"/>
                <w:lang w:val="en-US" w:eastAsia="zh-CN"/>
              </w:rPr>
              <w:t>汉族</w:t>
            </w:r>
          </w:p>
        </w:tc>
      </w:tr>
      <w:tr w14:paraId="232012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500" w:hRule="atLeast"/>
        </w:trPr>
        <w:tc>
          <w:tcPr>
            <w:tcW w:w="984" w:type="dxa"/>
            <w:vAlign w:val="center"/>
          </w:tcPr>
          <w:p w14:paraId="0B794AC0">
            <w:pPr>
              <w:jc w:val="center"/>
              <w:rPr>
                <w:rFonts w:hint="eastAsia" w:ascii="仿宋_GB2312" w:hAnsi="宋体" w:eastAsia="仿宋_GB2312"/>
                <w:color w:val="000000"/>
                <w:sz w:val="32"/>
                <w:szCs w:val="32"/>
              </w:rPr>
            </w:pPr>
            <w:r>
              <w:rPr>
                <w:rFonts w:hint="eastAsia" w:ascii="仿宋_GB2312" w:hAnsi="宋体" w:eastAsia="仿宋_GB2312"/>
                <w:color w:val="000000"/>
                <w:sz w:val="32"/>
                <w:szCs w:val="32"/>
              </w:rPr>
              <w:t>党派</w:t>
            </w:r>
          </w:p>
        </w:tc>
        <w:tc>
          <w:tcPr>
            <w:tcW w:w="1437" w:type="dxa"/>
            <w:gridSpan w:val="3"/>
            <w:vAlign w:val="center"/>
          </w:tcPr>
          <w:p w14:paraId="651BECD8">
            <w:pPr>
              <w:jc w:val="center"/>
              <w:rPr>
                <w:rFonts w:hint="eastAsia" w:ascii="仿宋_GB2312" w:hAnsi="宋体" w:eastAsia="仿宋_GB2312"/>
                <w:color w:val="000000"/>
                <w:sz w:val="32"/>
                <w:szCs w:val="32"/>
                <w:lang w:val="en-US" w:eastAsia="zh-CN"/>
              </w:rPr>
            </w:pPr>
            <w:r>
              <w:rPr>
                <w:rFonts w:hint="eastAsia" w:ascii="仿宋_GB2312" w:hAnsi="宋体" w:eastAsia="仿宋_GB2312"/>
                <w:color w:val="000000"/>
                <w:sz w:val="30"/>
                <w:szCs w:val="30"/>
                <w:lang w:val="en-US" w:eastAsia="zh-CN"/>
              </w:rPr>
              <w:t>中共党员</w:t>
            </w:r>
          </w:p>
        </w:tc>
        <w:tc>
          <w:tcPr>
            <w:tcW w:w="890" w:type="dxa"/>
            <w:vAlign w:val="center"/>
          </w:tcPr>
          <w:p w14:paraId="17EAF385">
            <w:pPr>
              <w:jc w:val="center"/>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lang w:eastAsia="zh-CN"/>
              </w:rPr>
              <w:t>学历</w:t>
            </w:r>
          </w:p>
        </w:tc>
        <w:tc>
          <w:tcPr>
            <w:tcW w:w="1690" w:type="dxa"/>
            <w:vAlign w:val="center"/>
          </w:tcPr>
          <w:p w14:paraId="3C3B9B29">
            <w:pPr>
              <w:jc w:val="center"/>
              <w:rPr>
                <w:rFonts w:hint="eastAsia" w:ascii="仿宋_GB2312" w:hAnsi="宋体" w:eastAsia="仿宋_GB2312"/>
                <w:color w:val="000000"/>
                <w:sz w:val="32"/>
                <w:szCs w:val="32"/>
                <w:lang w:val="en-US" w:eastAsia="zh-CN"/>
              </w:rPr>
            </w:pPr>
            <w:r>
              <w:rPr>
                <w:rFonts w:hint="eastAsia" w:ascii="仿宋_GB2312" w:hAnsi="宋体" w:eastAsia="仿宋_GB2312"/>
                <w:color w:val="000000"/>
                <w:sz w:val="30"/>
                <w:szCs w:val="30"/>
                <w:lang w:val="en-US" w:eastAsia="zh-CN"/>
              </w:rPr>
              <w:t>本科</w:t>
            </w:r>
          </w:p>
        </w:tc>
        <w:tc>
          <w:tcPr>
            <w:tcW w:w="1320" w:type="dxa"/>
            <w:vAlign w:val="center"/>
          </w:tcPr>
          <w:p w14:paraId="17EC10A6">
            <w:pPr>
              <w:jc w:val="center"/>
              <w:rPr>
                <w:rFonts w:hint="eastAsia" w:ascii="仿宋_GB2312" w:hAnsi="宋体" w:eastAsia="仿宋_GB2312"/>
                <w:color w:val="000000"/>
                <w:sz w:val="32"/>
                <w:szCs w:val="32"/>
              </w:rPr>
            </w:pPr>
            <w:r>
              <w:rPr>
                <w:rFonts w:hint="eastAsia" w:ascii="仿宋_GB2312" w:hAnsi="宋体" w:eastAsia="仿宋_GB2312"/>
                <w:color w:val="000000"/>
                <w:sz w:val="32"/>
                <w:szCs w:val="32"/>
              </w:rPr>
              <w:t>新闻工龄</w:t>
            </w:r>
          </w:p>
        </w:tc>
        <w:tc>
          <w:tcPr>
            <w:tcW w:w="1560" w:type="dxa"/>
            <w:gridSpan w:val="2"/>
            <w:vAlign w:val="center"/>
          </w:tcPr>
          <w:p w14:paraId="0F86E740">
            <w:pPr>
              <w:jc w:val="center"/>
              <w:rPr>
                <w:rFonts w:hint="default" w:eastAsiaTheme="minorEastAsia"/>
                <w:sz w:val="32"/>
                <w:szCs w:val="32"/>
                <w:lang w:val="en-US" w:eastAsia="zh-CN"/>
              </w:rPr>
            </w:pPr>
            <w:r>
              <w:rPr>
                <w:rFonts w:hint="eastAsia" w:ascii="仿宋_GB2312" w:hAnsi="宋体" w:eastAsia="仿宋_GB2312"/>
                <w:color w:val="000000"/>
                <w:sz w:val="30"/>
                <w:szCs w:val="30"/>
                <w:lang w:val="en-US" w:eastAsia="zh-CN"/>
              </w:rPr>
              <w:t>21年</w:t>
            </w:r>
          </w:p>
        </w:tc>
        <w:tc>
          <w:tcPr>
            <w:tcW w:w="860" w:type="dxa"/>
            <w:vAlign w:val="center"/>
          </w:tcPr>
          <w:p w14:paraId="39E23BD2">
            <w:pPr>
              <w:jc w:val="center"/>
              <w:rPr>
                <w:sz w:val="32"/>
                <w:szCs w:val="32"/>
              </w:rPr>
            </w:pPr>
            <w:r>
              <w:rPr>
                <w:rFonts w:hint="eastAsia" w:ascii="仿宋_GB2312" w:hAnsi="宋体" w:eastAsia="仿宋_GB2312"/>
                <w:color w:val="000000"/>
                <w:sz w:val="32"/>
                <w:szCs w:val="32"/>
              </w:rPr>
              <w:t>手机</w:t>
            </w:r>
          </w:p>
        </w:tc>
        <w:tc>
          <w:tcPr>
            <w:tcW w:w="1822" w:type="dxa"/>
            <w:vAlign w:val="center"/>
          </w:tcPr>
          <w:p w14:paraId="4BE3CF58">
            <w:pPr>
              <w:jc w:val="center"/>
              <w:rPr>
                <w:rFonts w:hint="default" w:ascii="仿宋_GB2312" w:hAnsi="宋体" w:eastAsia="仿宋_GB2312"/>
                <w:color w:val="000000"/>
                <w:sz w:val="30"/>
                <w:szCs w:val="30"/>
                <w:lang w:val="en-US" w:eastAsia="zh-CN"/>
              </w:rPr>
            </w:pPr>
          </w:p>
        </w:tc>
      </w:tr>
      <w:tr w14:paraId="187A87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557" w:hRule="atLeast"/>
        </w:trPr>
        <w:tc>
          <w:tcPr>
            <w:tcW w:w="984" w:type="dxa"/>
            <w:vAlign w:val="center"/>
          </w:tcPr>
          <w:p w14:paraId="01236208">
            <w:pPr>
              <w:jc w:val="center"/>
              <w:rPr>
                <w:sz w:val="32"/>
                <w:szCs w:val="32"/>
              </w:rPr>
            </w:pPr>
            <w:r>
              <w:rPr>
                <w:rFonts w:hint="eastAsia" w:ascii="仿宋_GB2312" w:hAnsi="宋体" w:eastAsia="仿宋_GB2312"/>
                <w:color w:val="000000"/>
                <w:sz w:val="32"/>
                <w:szCs w:val="32"/>
              </w:rPr>
              <w:t>职务</w:t>
            </w:r>
          </w:p>
        </w:tc>
        <w:tc>
          <w:tcPr>
            <w:tcW w:w="4017" w:type="dxa"/>
            <w:gridSpan w:val="5"/>
            <w:vAlign w:val="center"/>
          </w:tcPr>
          <w:p w14:paraId="2CE5F3AF">
            <w:pPr>
              <w:jc w:val="center"/>
              <w:rPr>
                <w:rFonts w:hint="default"/>
                <w:sz w:val="32"/>
                <w:szCs w:val="32"/>
                <w:lang w:val="en-US"/>
              </w:rPr>
            </w:pPr>
            <w:r>
              <w:rPr>
                <w:rFonts w:hint="eastAsia" w:ascii="仿宋_GB2312" w:hAnsi="宋体" w:eastAsia="仿宋_GB2312"/>
                <w:color w:val="000000"/>
                <w:sz w:val="21"/>
                <w:szCs w:val="21"/>
                <w:lang w:val="en-US" w:eastAsia="zh-CN"/>
              </w:rPr>
              <w:t>新疆广播电视台电视新闻中心评论部主任</w:t>
            </w:r>
          </w:p>
        </w:tc>
        <w:tc>
          <w:tcPr>
            <w:tcW w:w="1320" w:type="dxa"/>
            <w:vAlign w:val="center"/>
          </w:tcPr>
          <w:p w14:paraId="5E95D4C8">
            <w:pPr>
              <w:jc w:val="center"/>
              <w:rPr>
                <w:sz w:val="32"/>
                <w:szCs w:val="32"/>
              </w:rPr>
            </w:pPr>
            <w:r>
              <w:rPr>
                <w:rFonts w:hint="eastAsia" w:ascii="仿宋_GB2312" w:hAnsi="宋体" w:eastAsia="仿宋_GB2312"/>
                <w:color w:val="000000"/>
                <w:sz w:val="32"/>
                <w:szCs w:val="32"/>
              </w:rPr>
              <w:t>职称</w:t>
            </w:r>
          </w:p>
        </w:tc>
        <w:tc>
          <w:tcPr>
            <w:tcW w:w="4242" w:type="dxa"/>
            <w:gridSpan w:val="4"/>
            <w:vAlign w:val="center"/>
          </w:tcPr>
          <w:p w14:paraId="4606D030">
            <w:pPr>
              <w:jc w:val="center"/>
              <w:rPr>
                <w:rFonts w:hint="eastAsia" w:eastAsiaTheme="minorEastAsia"/>
                <w:sz w:val="32"/>
                <w:szCs w:val="32"/>
                <w:lang w:val="en-US" w:eastAsia="zh-CN"/>
              </w:rPr>
            </w:pPr>
            <w:r>
              <w:rPr>
                <w:rFonts w:hint="eastAsia" w:ascii="仿宋_GB2312" w:hAnsi="宋体" w:eastAsia="仿宋_GB2312"/>
                <w:color w:val="000000"/>
                <w:sz w:val="30"/>
                <w:szCs w:val="30"/>
                <w:lang w:val="en-US" w:eastAsia="zh-CN"/>
              </w:rPr>
              <w:t>高级记者</w:t>
            </w:r>
          </w:p>
        </w:tc>
      </w:tr>
      <w:tr w14:paraId="77725F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30" w:hRule="atLeast"/>
        </w:trPr>
        <w:tc>
          <w:tcPr>
            <w:tcW w:w="984" w:type="dxa"/>
            <w:vAlign w:val="center"/>
          </w:tcPr>
          <w:p w14:paraId="40C0D4F1">
            <w:pPr>
              <w:jc w:val="center"/>
              <w:rPr>
                <w:sz w:val="32"/>
                <w:szCs w:val="32"/>
              </w:rPr>
            </w:pPr>
            <w:r>
              <w:rPr>
                <w:rFonts w:hint="eastAsia" w:ascii="仿宋_GB2312" w:hAnsi="宋体" w:eastAsia="仿宋_GB2312"/>
                <w:color w:val="000000"/>
                <w:sz w:val="32"/>
                <w:szCs w:val="32"/>
              </w:rPr>
              <w:t>地址</w:t>
            </w:r>
          </w:p>
        </w:tc>
        <w:tc>
          <w:tcPr>
            <w:tcW w:w="6897" w:type="dxa"/>
            <w:gridSpan w:val="8"/>
            <w:vAlign w:val="center"/>
          </w:tcPr>
          <w:p w14:paraId="61E261F9">
            <w:pPr>
              <w:jc w:val="center"/>
              <w:rPr>
                <w:rFonts w:hint="default" w:eastAsiaTheme="minorEastAsia"/>
                <w:sz w:val="32"/>
                <w:szCs w:val="32"/>
                <w:lang w:val="en-US" w:eastAsia="zh-CN"/>
              </w:rPr>
            </w:pPr>
            <w:r>
              <w:rPr>
                <w:rFonts w:hint="eastAsia" w:ascii="仿宋_GB2312" w:hAnsi="宋体" w:eastAsia="仿宋_GB2312"/>
                <w:color w:val="000000"/>
                <w:sz w:val="30"/>
                <w:szCs w:val="30"/>
                <w:lang w:val="en-US" w:eastAsia="zh-CN"/>
              </w:rPr>
              <w:t>乌鲁木齐市团结路830号新疆广播电视台</w:t>
            </w:r>
          </w:p>
        </w:tc>
        <w:tc>
          <w:tcPr>
            <w:tcW w:w="860" w:type="dxa"/>
            <w:vAlign w:val="center"/>
          </w:tcPr>
          <w:p w14:paraId="4BDD02B8">
            <w:pPr>
              <w:jc w:val="center"/>
              <w:rPr>
                <w:sz w:val="32"/>
                <w:szCs w:val="32"/>
              </w:rPr>
            </w:pPr>
            <w:r>
              <w:rPr>
                <w:rFonts w:hint="eastAsia" w:ascii="仿宋_GB2312" w:hAnsi="宋体" w:eastAsia="仿宋_GB2312"/>
                <w:color w:val="000000"/>
                <w:sz w:val="32"/>
                <w:szCs w:val="32"/>
              </w:rPr>
              <w:t>邮编</w:t>
            </w:r>
          </w:p>
        </w:tc>
        <w:tc>
          <w:tcPr>
            <w:tcW w:w="1822" w:type="dxa"/>
            <w:vAlign w:val="center"/>
          </w:tcPr>
          <w:p w14:paraId="6BDF875D">
            <w:pPr>
              <w:jc w:val="center"/>
              <w:rPr>
                <w:rFonts w:hint="default" w:eastAsiaTheme="minorEastAsia"/>
                <w:sz w:val="32"/>
                <w:szCs w:val="32"/>
                <w:lang w:val="en-US" w:eastAsia="zh-CN"/>
              </w:rPr>
            </w:pPr>
            <w:r>
              <w:rPr>
                <w:rFonts w:hint="eastAsia" w:ascii="仿宋_GB2312" w:hAnsi="宋体" w:eastAsia="仿宋_GB2312"/>
                <w:color w:val="000000"/>
                <w:sz w:val="30"/>
                <w:szCs w:val="30"/>
                <w:lang w:val="en-US" w:eastAsia="zh-CN"/>
              </w:rPr>
              <w:t>830044</w:t>
            </w:r>
          </w:p>
        </w:tc>
      </w:tr>
      <w:tr w14:paraId="3F919A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508" w:hRule="atLeast"/>
        </w:trPr>
        <w:tc>
          <w:tcPr>
            <w:tcW w:w="1321" w:type="dxa"/>
            <w:gridSpan w:val="2"/>
            <w:tcBorders>
              <w:bottom w:val="single" w:color="auto" w:sz="4" w:space="0"/>
            </w:tcBorders>
            <w:vAlign w:val="center"/>
          </w:tcPr>
          <w:p w14:paraId="5DB0BED2">
            <w:pPr>
              <w:jc w:val="center"/>
              <w:rPr>
                <w:rFonts w:hint="eastAsia" w:ascii="仿宋_GB2312" w:hAnsi="宋体" w:eastAsia="仿宋_GB2312"/>
                <w:color w:val="000000"/>
                <w:sz w:val="32"/>
                <w:szCs w:val="32"/>
              </w:rPr>
            </w:pPr>
            <w:r>
              <w:rPr>
                <w:rFonts w:hint="eastAsia" w:ascii="仿宋_GB2312" w:hAnsi="宋体" w:eastAsia="仿宋_GB2312"/>
                <w:color w:val="000000"/>
                <w:sz w:val="32"/>
                <w:szCs w:val="32"/>
              </w:rPr>
              <w:t>公示时间</w:t>
            </w:r>
          </w:p>
        </w:tc>
        <w:tc>
          <w:tcPr>
            <w:tcW w:w="3680" w:type="dxa"/>
            <w:gridSpan w:val="4"/>
            <w:tcBorders>
              <w:bottom w:val="single" w:color="auto" w:sz="4" w:space="0"/>
            </w:tcBorders>
            <w:vAlign w:val="center"/>
          </w:tcPr>
          <w:p w14:paraId="53774BA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hAnsi="宋体" w:eastAsia="仿宋_GB2312"/>
                <w:color w:val="000000"/>
                <w:sz w:val="32"/>
                <w:szCs w:val="32"/>
                <w:lang w:val="en-US" w:eastAsia="zh-CN"/>
              </w:rPr>
            </w:pPr>
            <w:r>
              <w:rPr>
                <w:rFonts w:hint="eastAsia" w:ascii="仿宋_GB2312" w:hAnsi="宋体" w:eastAsia="仿宋_GB2312"/>
                <w:color w:val="000000"/>
                <w:sz w:val="30"/>
                <w:szCs w:val="30"/>
                <w:lang w:val="en-US" w:eastAsia="zh-CN"/>
              </w:rPr>
              <w:t>2025年9月18日至22日</w:t>
            </w:r>
          </w:p>
        </w:tc>
        <w:tc>
          <w:tcPr>
            <w:tcW w:w="1320" w:type="dxa"/>
            <w:tcBorders>
              <w:bottom w:val="single" w:color="auto" w:sz="4" w:space="0"/>
            </w:tcBorders>
            <w:vAlign w:val="center"/>
          </w:tcPr>
          <w:p w14:paraId="5171BEE0">
            <w:pPr>
              <w:jc w:val="center"/>
              <w:rPr>
                <w:sz w:val="32"/>
                <w:szCs w:val="32"/>
              </w:rPr>
            </w:pPr>
            <w:r>
              <w:rPr>
                <w:rFonts w:hint="eastAsia" w:ascii="仿宋_GB2312" w:hAnsi="宋体" w:eastAsia="仿宋_GB2312"/>
                <w:color w:val="000000"/>
                <w:sz w:val="32"/>
                <w:szCs w:val="32"/>
              </w:rPr>
              <w:t>公示媒体</w:t>
            </w:r>
          </w:p>
        </w:tc>
        <w:tc>
          <w:tcPr>
            <w:tcW w:w="4242" w:type="dxa"/>
            <w:gridSpan w:val="4"/>
            <w:tcBorders>
              <w:bottom w:val="single" w:color="auto" w:sz="4" w:space="0"/>
            </w:tcBorders>
            <w:vAlign w:val="center"/>
          </w:tcPr>
          <w:p w14:paraId="6A501144">
            <w:pPr>
              <w:jc w:val="center"/>
              <w:rPr>
                <w:rFonts w:hint="eastAsia" w:eastAsiaTheme="minorEastAsia"/>
                <w:sz w:val="32"/>
                <w:szCs w:val="32"/>
                <w:lang w:eastAsia="zh-CN"/>
              </w:rPr>
            </w:pPr>
            <w:r>
              <w:rPr>
                <w:rFonts w:hint="eastAsia" w:ascii="仿宋_GB2312" w:hAnsi="宋体" w:eastAsia="仿宋_GB2312"/>
                <w:color w:val="000000"/>
                <w:sz w:val="30"/>
                <w:szCs w:val="30"/>
                <w:lang w:val="en-US" w:eastAsia="zh-CN"/>
              </w:rPr>
              <w:t>天山网</w:t>
            </w:r>
          </w:p>
        </w:tc>
      </w:tr>
      <w:tr w14:paraId="4E9D1A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534" w:hRule="atLeast"/>
        </w:trPr>
        <w:tc>
          <w:tcPr>
            <w:tcW w:w="1321" w:type="dxa"/>
            <w:gridSpan w:val="2"/>
            <w:tcBorders>
              <w:top w:val="single" w:color="auto" w:sz="4" w:space="0"/>
              <w:bottom w:val="single" w:color="auto" w:sz="4" w:space="0"/>
            </w:tcBorders>
            <w:vAlign w:val="center"/>
          </w:tcPr>
          <w:p w14:paraId="37CF7FF5">
            <w:pPr>
              <w:jc w:val="center"/>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lang w:eastAsia="zh-CN"/>
              </w:rPr>
              <w:t>推荐类别</w:t>
            </w:r>
          </w:p>
        </w:tc>
        <w:tc>
          <w:tcPr>
            <w:tcW w:w="9242" w:type="dxa"/>
            <w:gridSpan w:val="9"/>
            <w:tcBorders>
              <w:top w:val="single" w:color="auto" w:sz="4" w:space="0"/>
              <w:bottom w:val="single" w:color="auto" w:sz="4" w:space="0"/>
            </w:tcBorders>
            <w:vAlign w:val="center"/>
          </w:tcPr>
          <w:p w14:paraId="46524C48">
            <w:pPr>
              <w:jc w:val="center"/>
              <w:rPr>
                <w:rFonts w:hint="default"/>
                <w:sz w:val="32"/>
                <w:szCs w:val="32"/>
                <w:lang w:val="en-US"/>
              </w:rPr>
            </w:pPr>
            <w:r>
              <w:rPr>
                <w:rFonts w:hint="eastAsia" w:ascii="仿宋" w:hAnsi="仿宋" w:eastAsia="仿宋"/>
                <w:sz w:val="32"/>
                <w:szCs w:val="32"/>
              </w:rPr>
              <w:t>文章高手</w:t>
            </w:r>
            <w:r>
              <w:rPr>
                <w:rFonts w:hint="eastAsia" w:ascii="Times New Roman" w:hAnsi="Times New Roman" w:eastAsia="仿宋"/>
                <w:color w:val="000000"/>
                <w:kern w:val="0"/>
                <w:sz w:val="28"/>
                <w:szCs w:val="28"/>
                <w:u w:val="none"/>
                <w:lang w:val="en-US" w:eastAsia="zh-CN"/>
              </w:rPr>
              <w:t>□</w:t>
            </w:r>
            <w:r>
              <w:rPr>
                <w:rFonts w:ascii="Times New Roman" w:hAnsi="Times New Roman" w:eastAsia="仿宋"/>
                <w:color w:val="000000"/>
                <w:kern w:val="0"/>
                <w:sz w:val="28"/>
                <w:szCs w:val="28"/>
                <w:u w:val="none"/>
                <w:lang w:val="en-US" w:eastAsia="zh-CN"/>
              </w:rPr>
              <w:t xml:space="preserve"> </w:t>
            </w:r>
            <w:r>
              <w:rPr>
                <w:rFonts w:hint="eastAsia" w:ascii="Times New Roman" w:hAnsi="Times New Roman" w:eastAsia="仿宋"/>
                <w:color w:val="000000"/>
                <w:kern w:val="0"/>
                <w:sz w:val="28"/>
                <w:szCs w:val="28"/>
                <w:u w:val="none"/>
                <w:lang w:val="en-US" w:eastAsia="zh-CN"/>
              </w:rPr>
              <w:t xml:space="preserve"> </w:t>
            </w:r>
            <w:r>
              <w:rPr>
                <w:rFonts w:hint="eastAsia" w:ascii="仿宋" w:hAnsi="仿宋" w:eastAsia="仿宋"/>
                <w:sz w:val="32"/>
                <w:szCs w:val="32"/>
              </w:rPr>
              <w:t>节目大家</w:t>
            </w:r>
            <w:r>
              <w:rPr>
                <w:rFonts w:hint="eastAsia" w:ascii="Times New Roman" w:hAnsi="Times New Roman" w:eastAsia="仿宋"/>
                <w:color w:val="000000"/>
                <w:kern w:val="0"/>
                <w:sz w:val="28"/>
                <w:szCs w:val="28"/>
                <w:u w:val="none"/>
                <w:lang w:val="en-US" w:eastAsia="zh-CN"/>
              </w:rPr>
              <w:t>☑</w:t>
            </w:r>
            <w:r>
              <w:rPr>
                <w:rFonts w:ascii="Times New Roman" w:hAnsi="Times New Roman" w:eastAsia="仿宋"/>
                <w:color w:val="000000"/>
                <w:kern w:val="0"/>
                <w:sz w:val="28"/>
                <w:szCs w:val="28"/>
                <w:u w:val="none"/>
                <w:lang w:val="en-US" w:eastAsia="zh-CN"/>
              </w:rPr>
              <w:t xml:space="preserve"> </w:t>
            </w:r>
            <w:r>
              <w:rPr>
                <w:rFonts w:hint="eastAsia" w:ascii="仿宋_GB2312" w:hAnsi="宋体" w:eastAsia="仿宋_GB2312"/>
                <w:color w:val="000000"/>
                <w:sz w:val="32"/>
                <w:szCs w:val="32"/>
                <w:lang w:val="en-US" w:eastAsia="zh-CN"/>
              </w:rPr>
              <w:t xml:space="preserve"> </w:t>
            </w:r>
            <w:r>
              <w:rPr>
                <w:rFonts w:hint="eastAsia" w:ascii="仿宋_GB2312" w:hAnsi="宋体" w:eastAsia="仿宋_GB2312"/>
                <w:color w:val="000000"/>
                <w:sz w:val="32"/>
                <w:szCs w:val="32"/>
                <w:lang w:eastAsia="zh-CN"/>
              </w:rPr>
              <w:t>外宣能人</w:t>
            </w:r>
            <w:r>
              <w:rPr>
                <w:rFonts w:hint="eastAsia" w:ascii="仿宋_GB2312" w:hAnsi="宋体" w:eastAsia="仿宋_GB2312"/>
                <w:color w:val="000000"/>
                <w:sz w:val="32"/>
                <w:szCs w:val="32"/>
                <w:lang w:val="en-US" w:eastAsia="zh-CN"/>
              </w:rPr>
              <w:t xml:space="preserve">□  </w:t>
            </w:r>
            <w:r>
              <w:rPr>
                <w:rFonts w:hint="eastAsia" w:ascii="仿宋_GB2312" w:hAnsi="宋体" w:eastAsia="仿宋_GB2312"/>
                <w:color w:val="000000"/>
                <w:sz w:val="32"/>
                <w:szCs w:val="32"/>
                <w:lang w:eastAsia="zh-CN"/>
              </w:rPr>
              <w:t>全媒尖兵</w:t>
            </w:r>
            <w:r>
              <w:rPr>
                <w:rFonts w:hint="eastAsia" w:ascii="Times New Roman" w:hAnsi="Times New Roman" w:eastAsia="仿宋"/>
                <w:color w:val="000000"/>
                <w:kern w:val="0"/>
                <w:sz w:val="28"/>
                <w:szCs w:val="28"/>
                <w:u w:val="none"/>
                <w:lang w:val="en-US" w:eastAsia="zh-CN"/>
              </w:rPr>
              <w:t>□</w:t>
            </w:r>
            <w:r>
              <w:rPr>
                <w:rFonts w:ascii="Times New Roman" w:hAnsi="Times New Roman" w:eastAsia="仿宋"/>
                <w:color w:val="000000"/>
                <w:kern w:val="0"/>
                <w:sz w:val="28"/>
                <w:szCs w:val="28"/>
                <w:u w:val="none"/>
                <w:lang w:val="en-US" w:eastAsia="zh-CN"/>
              </w:rPr>
              <w:t xml:space="preserve"> </w:t>
            </w:r>
            <w:r>
              <w:rPr>
                <w:rFonts w:hint="eastAsia" w:ascii="仿宋_GB2312" w:hAnsi="宋体" w:eastAsia="仿宋_GB2312"/>
                <w:color w:val="000000"/>
                <w:sz w:val="32"/>
                <w:szCs w:val="32"/>
                <w:lang w:val="en-US" w:eastAsia="zh-CN"/>
              </w:rPr>
              <w:t xml:space="preserve"> 综合业务□ </w:t>
            </w:r>
          </w:p>
        </w:tc>
      </w:tr>
      <w:tr w14:paraId="563DA5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607" w:hRule="atLeast"/>
        </w:trPr>
        <w:tc>
          <w:tcPr>
            <w:tcW w:w="1321" w:type="dxa"/>
            <w:gridSpan w:val="2"/>
            <w:tcBorders>
              <w:top w:val="single" w:color="auto" w:sz="4" w:space="0"/>
            </w:tcBorders>
            <w:vAlign w:val="center"/>
          </w:tcPr>
          <w:p w14:paraId="3ED5B385">
            <w:pPr>
              <w:jc w:val="center"/>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lang w:eastAsia="zh-CN"/>
              </w:rPr>
              <w:t>获奖情况</w:t>
            </w:r>
          </w:p>
        </w:tc>
        <w:tc>
          <w:tcPr>
            <w:tcW w:w="9242" w:type="dxa"/>
            <w:gridSpan w:val="9"/>
            <w:tcBorders>
              <w:top w:val="single" w:color="auto" w:sz="4" w:space="0"/>
            </w:tcBorders>
            <w:vAlign w:val="center"/>
          </w:tcPr>
          <w:p w14:paraId="10DD675D">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宋体" w:eastAsia="仿宋_GB2312"/>
                <w:color w:val="000000"/>
                <w:sz w:val="24"/>
                <w:szCs w:val="24"/>
                <w:lang w:val="en-US" w:eastAsia="zh-CN"/>
              </w:rPr>
            </w:pPr>
            <w:r>
              <w:rPr>
                <w:rFonts w:hint="eastAsia" w:ascii="仿宋_GB2312" w:hAnsi="宋体" w:eastAsia="仿宋_GB2312"/>
                <w:color w:val="000000"/>
                <w:sz w:val="24"/>
                <w:szCs w:val="24"/>
                <w:lang w:val="en-US" w:eastAsia="zh-CN"/>
              </w:rPr>
              <w:t>2022年主创新闻访谈《追求美好生活不是强迫劳动》获得</w:t>
            </w:r>
            <w:r>
              <w:rPr>
                <w:rFonts w:hint="default" w:ascii="仿宋_GB2312" w:hAnsi="宋体" w:eastAsia="仿宋_GB2312"/>
                <w:color w:val="000000"/>
                <w:sz w:val="24"/>
                <w:szCs w:val="24"/>
                <w:lang w:val="en-US" w:eastAsia="zh-CN"/>
              </w:rPr>
              <w:t>第32届中国新闻奖</w:t>
            </w:r>
            <w:r>
              <w:rPr>
                <w:rFonts w:hint="eastAsia" w:ascii="仿宋_GB2312" w:hAnsi="宋体" w:eastAsia="仿宋_GB2312"/>
                <w:color w:val="000000"/>
                <w:sz w:val="24"/>
                <w:szCs w:val="24"/>
                <w:lang w:val="en-US" w:eastAsia="zh-CN"/>
              </w:rPr>
              <w:t>二等奖；</w:t>
            </w:r>
          </w:p>
          <w:p w14:paraId="46E87537">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宋体" w:eastAsia="仿宋_GB2312"/>
                <w:color w:val="000000"/>
                <w:sz w:val="24"/>
                <w:szCs w:val="24"/>
                <w:lang w:val="en-US" w:eastAsia="zh-CN"/>
              </w:rPr>
            </w:pPr>
            <w:r>
              <w:rPr>
                <w:rFonts w:hint="eastAsia" w:ascii="仿宋_GB2312" w:hAnsi="宋体" w:eastAsia="仿宋_GB2312"/>
                <w:color w:val="000000"/>
                <w:sz w:val="24"/>
                <w:szCs w:val="24"/>
                <w:lang w:val="en-US" w:eastAsia="zh-CN"/>
              </w:rPr>
              <w:t>2022年主创新闻专题《接力救护 生命至上》获得</w:t>
            </w:r>
            <w:r>
              <w:rPr>
                <w:rFonts w:hint="default" w:ascii="仿宋_GB2312" w:hAnsi="宋体" w:eastAsia="仿宋_GB2312"/>
                <w:color w:val="000000"/>
                <w:sz w:val="24"/>
                <w:szCs w:val="24"/>
                <w:lang w:val="en-US" w:eastAsia="zh-CN"/>
              </w:rPr>
              <w:t>第32届中国新闻奖</w:t>
            </w:r>
            <w:r>
              <w:rPr>
                <w:rFonts w:hint="eastAsia" w:ascii="仿宋_GB2312" w:hAnsi="宋体" w:eastAsia="仿宋_GB2312"/>
                <w:color w:val="000000"/>
                <w:sz w:val="24"/>
                <w:szCs w:val="24"/>
                <w:lang w:val="en-US" w:eastAsia="zh-CN"/>
              </w:rPr>
              <w:t>三等奖；</w:t>
            </w:r>
          </w:p>
          <w:p w14:paraId="00466ABC">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宋体" w:eastAsia="仿宋_GB2312"/>
                <w:color w:val="000000"/>
                <w:sz w:val="24"/>
                <w:szCs w:val="24"/>
                <w:lang w:val="en-US" w:eastAsia="zh-CN"/>
              </w:rPr>
            </w:pPr>
            <w:r>
              <w:rPr>
                <w:rFonts w:hint="eastAsia" w:ascii="仿宋_GB2312" w:hAnsi="宋体" w:eastAsia="仿宋_GB2312"/>
                <w:color w:val="000000"/>
                <w:sz w:val="24"/>
                <w:szCs w:val="24"/>
                <w:lang w:val="en-US" w:eastAsia="zh-CN"/>
              </w:rPr>
              <w:t>2022年主创国际传播作品《新疆番茄 不惧贸易逆流》获得</w:t>
            </w:r>
            <w:r>
              <w:rPr>
                <w:rFonts w:hint="default" w:ascii="仿宋_GB2312" w:hAnsi="宋体" w:eastAsia="仿宋_GB2312"/>
                <w:color w:val="000000"/>
                <w:sz w:val="24"/>
                <w:szCs w:val="24"/>
                <w:lang w:val="en-US" w:eastAsia="zh-CN"/>
              </w:rPr>
              <w:t>第32届中国新闻奖</w:t>
            </w:r>
            <w:r>
              <w:rPr>
                <w:rFonts w:hint="eastAsia" w:ascii="仿宋_GB2312" w:hAnsi="宋体" w:eastAsia="仿宋_GB2312"/>
                <w:color w:val="000000"/>
                <w:sz w:val="24"/>
                <w:szCs w:val="24"/>
                <w:lang w:val="en-US" w:eastAsia="zh-CN"/>
              </w:rPr>
              <w:t>三等奖；</w:t>
            </w:r>
          </w:p>
          <w:p w14:paraId="1DBDBBDE">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宋体" w:eastAsia="仿宋_GB2312"/>
                <w:color w:val="000000"/>
                <w:sz w:val="24"/>
                <w:szCs w:val="24"/>
                <w:lang w:val="en-US" w:eastAsia="zh-CN"/>
              </w:rPr>
            </w:pPr>
            <w:r>
              <w:rPr>
                <w:rFonts w:hint="eastAsia" w:ascii="仿宋_GB2312" w:hAnsi="宋体" w:eastAsia="仿宋_GB2312"/>
                <w:color w:val="000000"/>
                <w:sz w:val="24"/>
                <w:szCs w:val="24"/>
                <w:lang w:val="en-US" w:eastAsia="zh-CN"/>
              </w:rPr>
              <w:t>2022年获评新疆文化名家暨“四个一批”人才；</w:t>
            </w:r>
          </w:p>
          <w:p w14:paraId="518CFCAE">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宋体" w:eastAsia="仿宋_GB2312"/>
                <w:color w:val="000000"/>
                <w:sz w:val="24"/>
                <w:szCs w:val="24"/>
                <w:lang w:val="en-US" w:eastAsia="zh-CN"/>
              </w:rPr>
            </w:pPr>
            <w:r>
              <w:rPr>
                <w:rFonts w:hint="eastAsia" w:ascii="仿宋_GB2312" w:hAnsi="宋体" w:eastAsia="仿宋_GB2312"/>
                <w:color w:val="000000"/>
                <w:sz w:val="24"/>
                <w:szCs w:val="24"/>
                <w:lang w:val="en-US" w:eastAsia="zh-CN"/>
              </w:rPr>
              <w:t>2023年主创电视专题《我的超级棉田》获得中国广播电视大奖；</w:t>
            </w:r>
          </w:p>
          <w:p w14:paraId="65D7FDD2">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宋体" w:eastAsia="仿宋_GB2312"/>
                <w:color w:val="000000"/>
                <w:sz w:val="24"/>
                <w:szCs w:val="24"/>
                <w:lang w:val="en-US" w:eastAsia="zh-CN"/>
              </w:rPr>
            </w:pPr>
            <w:r>
              <w:rPr>
                <w:rFonts w:hint="eastAsia" w:ascii="仿宋_GB2312" w:hAnsi="宋体" w:eastAsia="仿宋_GB2312"/>
                <w:color w:val="000000"/>
                <w:sz w:val="24"/>
                <w:szCs w:val="24"/>
                <w:lang w:val="en-US" w:eastAsia="zh-CN"/>
              </w:rPr>
              <w:t>2023年主创新闻专题《阿尔金山的守护者》获得第33届新疆新闻奖一等奖；</w:t>
            </w:r>
          </w:p>
          <w:p w14:paraId="6BCE04E3">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宋体" w:eastAsia="仿宋_GB2312"/>
                <w:color w:val="000000"/>
                <w:sz w:val="24"/>
                <w:szCs w:val="24"/>
                <w:lang w:val="en-US" w:eastAsia="zh-CN"/>
              </w:rPr>
            </w:pPr>
            <w:r>
              <w:rPr>
                <w:rFonts w:hint="eastAsia" w:ascii="仿宋_GB2312" w:hAnsi="宋体" w:eastAsia="仿宋_GB2312"/>
                <w:color w:val="000000"/>
                <w:sz w:val="24"/>
                <w:szCs w:val="24"/>
                <w:lang w:val="en-US" w:eastAsia="zh-CN"/>
              </w:rPr>
              <w:t>2024年主创新闻访谈《86小时的风雨同舟》获得第34届新疆新闻奖一等奖；</w:t>
            </w:r>
          </w:p>
          <w:p w14:paraId="78ED2DE5">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宋体" w:eastAsia="仿宋_GB2312"/>
                <w:color w:val="000000"/>
                <w:sz w:val="24"/>
                <w:szCs w:val="24"/>
                <w:lang w:val="en-US" w:eastAsia="zh-CN"/>
              </w:rPr>
            </w:pPr>
            <w:r>
              <w:rPr>
                <w:rFonts w:hint="eastAsia" w:ascii="仿宋_GB2312" w:hAnsi="宋体" w:eastAsia="仿宋_GB2312"/>
                <w:color w:val="000000"/>
                <w:sz w:val="24"/>
                <w:szCs w:val="24"/>
                <w:lang w:val="en-US" w:eastAsia="zh-CN"/>
              </w:rPr>
              <w:t>2025年主创新闻专题《淤泥变沃土 戈壁造良田》获得第35届新疆新闻奖一等奖；</w:t>
            </w:r>
          </w:p>
          <w:p w14:paraId="6AB8E400">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 w:hAnsi="仿宋" w:eastAsia="仿宋" w:cs="仿宋"/>
                <w:sz w:val="24"/>
                <w:szCs w:val="24"/>
                <w:lang w:val="en-US" w:eastAsia="zh-CN" w:bidi="ar-SA"/>
              </w:rPr>
            </w:pPr>
            <w:r>
              <w:rPr>
                <w:rFonts w:hint="eastAsia" w:ascii="仿宋_GB2312" w:hAnsi="宋体" w:eastAsia="仿宋_GB2312"/>
                <w:color w:val="000000"/>
                <w:sz w:val="24"/>
                <w:szCs w:val="24"/>
                <w:lang w:val="en-US" w:eastAsia="zh-CN"/>
              </w:rPr>
              <w:t>2025年获评国家文化英才。</w:t>
            </w:r>
          </w:p>
        </w:tc>
      </w:tr>
      <w:tr w14:paraId="144521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1055" w:hRule="atLeast"/>
        </w:trPr>
        <w:tc>
          <w:tcPr>
            <w:tcW w:w="2421" w:type="dxa"/>
            <w:gridSpan w:val="4"/>
            <w:tcBorders>
              <w:bottom w:val="single" w:color="auto" w:sz="4" w:space="0"/>
              <w:right w:val="single" w:color="auto" w:sz="4" w:space="0"/>
            </w:tcBorders>
            <w:vAlign w:val="center"/>
          </w:tcPr>
          <w:p w14:paraId="21D993A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lang w:eastAsia="zh-CN"/>
              </w:rPr>
              <w:t>主要参与媒体账号或个人账号名称及粉丝量</w:t>
            </w:r>
          </w:p>
        </w:tc>
        <w:tc>
          <w:tcPr>
            <w:tcW w:w="8142" w:type="dxa"/>
            <w:gridSpan w:val="7"/>
            <w:tcBorders>
              <w:left w:val="single" w:color="auto" w:sz="4" w:space="0"/>
              <w:bottom w:val="single" w:color="auto" w:sz="4" w:space="0"/>
            </w:tcBorders>
            <w:vAlign w:val="center"/>
          </w:tcPr>
          <w:p w14:paraId="1A3D5A01">
            <w:pPr>
              <w:rPr>
                <w:rFonts w:hint="eastAsia"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 xml:space="preserve">丝路视听客户端（下载用户300万+） </w:t>
            </w:r>
          </w:p>
          <w:p w14:paraId="02F487B1">
            <w:pPr>
              <w:rPr>
                <w:rFonts w:hint="default"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新疆新闻（视频号）粉丝量45万</w:t>
            </w:r>
          </w:p>
        </w:tc>
      </w:tr>
      <w:tr w14:paraId="2E2E37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90" w:hRule="atLeast"/>
        </w:trPr>
        <w:tc>
          <w:tcPr>
            <w:tcW w:w="10563" w:type="dxa"/>
            <w:gridSpan w:val="11"/>
            <w:tcBorders>
              <w:top w:val="single" w:color="auto" w:sz="4" w:space="0"/>
            </w:tcBorders>
            <w:vAlign w:val="center"/>
          </w:tcPr>
          <w:p w14:paraId="1B188912">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小标宋_GBK" w:hAnsi="方正小标宋_GBK" w:eastAsia="方正小标宋_GBK" w:cs="方正小标宋_GBK"/>
                <w:sz w:val="36"/>
                <w:szCs w:val="36"/>
              </w:rPr>
            </w:pPr>
            <w:r>
              <w:rPr>
                <w:rFonts w:hint="eastAsia" w:ascii="仿宋_GB2312" w:hAnsi="宋体" w:eastAsia="仿宋_GB2312"/>
                <w:color w:val="000000"/>
                <w:sz w:val="32"/>
                <w:szCs w:val="32"/>
              </w:rPr>
              <w:t>被推荐人事迹简介：</w:t>
            </w:r>
          </w:p>
          <w:p w14:paraId="02ED6FF4">
            <w:pPr>
              <w:keepNext w:val="0"/>
              <w:keepLines w:val="0"/>
              <w:pageBreakBefore w:val="0"/>
              <w:widowControl w:val="0"/>
              <w:kinsoku/>
              <w:wordWrap/>
              <w:overflowPunct/>
              <w:topLinePunct w:val="0"/>
              <w:autoSpaceDE/>
              <w:autoSpaceDN/>
              <w:bidi w:val="0"/>
              <w:adjustRightInd/>
              <w:snapToGrid/>
              <w:spacing w:line="300" w:lineRule="exact"/>
              <w:ind w:firstLine="600" w:firstLineChars="200"/>
              <w:jc w:val="left"/>
              <w:textAlignment w:val="auto"/>
              <w:rPr>
                <w:rFonts w:hint="default" w:ascii="仿宋_GB2312" w:hAnsi="宋体" w:eastAsia="仿宋_GB2312"/>
                <w:color w:val="000000"/>
                <w:sz w:val="30"/>
                <w:szCs w:val="30"/>
                <w:lang w:val="en-US" w:eastAsia="zh-CN"/>
              </w:rPr>
            </w:pPr>
            <w:r>
              <w:rPr>
                <w:rFonts w:hint="eastAsia" w:ascii="仿宋_GB2312" w:hAnsi="宋体" w:eastAsia="仿宋_GB2312"/>
                <w:color w:val="000000"/>
                <w:sz w:val="30"/>
                <w:szCs w:val="30"/>
                <w:lang w:val="en-US" w:eastAsia="zh-CN"/>
              </w:rPr>
              <w:t>（详见附件）</w:t>
            </w:r>
          </w:p>
        </w:tc>
      </w:tr>
      <w:tr w14:paraId="641B8E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1970" w:hRule="atLeast"/>
        </w:trPr>
        <w:tc>
          <w:tcPr>
            <w:tcW w:w="2421" w:type="dxa"/>
            <w:gridSpan w:val="4"/>
          </w:tcPr>
          <w:p w14:paraId="6E026653">
            <w:pPr>
              <w:jc w:val="center"/>
              <w:rPr>
                <w:rFonts w:ascii="仿宋_GB2312" w:hAnsi="宋体" w:eastAsia="仿宋_GB2312"/>
                <w:color w:val="000000"/>
                <w:sz w:val="32"/>
                <w:szCs w:val="32"/>
              </w:rPr>
            </w:pPr>
            <w:r>
              <w:rPr>
                <w:rFonts w:hint="eastAsia" w:ascii="仿宋_GB2312" w:hAnsi="宋体" w:eastAsia="仿宋_GB2312"/>
                <w:color w:val="000000"/>
                <w:sz w:val="32"/>
                <w:szCs w:val="32"/>
              </w:rPr>
              <w:t>所在单位意见</w:t>
            </w:r>
          </w:p>
          <w:p w14:paraId="7DBF8B43">
            <w:pPr>
              <w:jc w:val="center"/>
              <w:rPr>
                <w:rFonts w:ascii="仿宋_GB2312" w:hAnsi="宋体" w:eastAsia="仿宋_GB2312"/>
                <w:color w:val="000000"/>
                <w:sz w:val="32"/>
                <w:szCs w:val="32"/>
              </w:rPr>
            </w:pPr>
            <w:r>
              <w:rPr>
                <w:rFonts w:hint="eastAsia" w:ascii="仿宋_GB2312" w:hAnsi="宋体" w:eastAsia="仿宋_GB2312"/>
                <w:color w:val="000000"/>
                <w:sz w:val="32"/>
                <w:szCs w:val="32"/>
              </w:rPr>
              <w:t xml:space="preserve"> （盖章）</w:t>
            </w:r>
          </w:p>
          <w:p w14:paraId="370561F1">
            <w:pPr>
              <w:rPr>
                <w:rFonts w:ascii="仿宋_GB2312" w:hAnsi="宋体" w:eastAsia="仿宋_GB2312"/>
                <w:color w:val="000000"/>
                <w:sz w:val="32"/>
                <w:szCs w:val="32"/>
              </w:rPr>
            </w:pPr>
          </w:p>
          <w:p w14:paraId="657CB8EB">
            <w:pPr>
              <w:jc w:val="both"/>
              <w:rPr>
                <w:rFonts w:ascii="仿宋_GB2312" w:hAnsi="宋体" w:eastAsia="仿宋_GB2312"/>
                <w:color w:val="000000"/>
                <w:sz w:val="32"/>
                <w:szCs w:val="32"/>
              </w:rPr>
            </w:pPr>
          </w:p>
          <w:p w14:paraId="550DF0F9">
            <w:pPr>
              <w:jc w:val="both"/>
              <w:rPr>
                <w:rFonts w:ascii="仿宋_GB2312" w:hAnsi="宋体" w:eastAsia="仿宋_GB2312"/>
                <w:color w:val="000000"/>
                <w:sz w:val="32"/>
                <w:szCs w:val="32"/>
              </w:rPr>
            </w:pPr>
          </w:p>
          <w:p w14:paraId="759A8422">
            <w:pPr>
              <w:jc w:val="center"/>
              <w:rPr>
                <w:sz w:val="32"/>
                <w:szCs w:val="32"/>
              </w:rPr>
            </w:pPr>
            <w:r>
              <w:rPr>
                <w:rFonts w:hint="eastAsia" w:ascii="仿宋_GB2312" w:hAnsi="宋体" w:eastAsia="仿宋_GB2312"/>
                <w:color w:val="000000"/>
                <w:sz w:val="32"/>
                <w:szCs w:val="32"/>
              </w:rPr>
              <w:t>20</w:t>
            </w:r>
            <w:r>
              <w:rPr>
                <w:rFonts w:ascii="仿宋_GB2312" w:hAnsi="宋体" w:eastAsia="仿宋_GB2312"/>
                <w:color w:val="000000"/>
                <w:sz w:val="32"/>
                <w:szCs w:val="32"/>
              </w:rPr>
              <w:t>25</w:t>
            </w:r>
            <w:r>
              <w:rPr>
                <w:rFonts w:hint="eastAsia" w:ascii="仿宋_GB2312" w:hAnsi="宋体" w:eastAsia="仿宋_GB2312"/>
                <w:color w:val="000000"/>
                <w:sz w:val="32"/>
                <w:szCs w:val="32"/>
              </w:rPr>
              <w:t>年  月  日</w:t>
            </w:r>
          </w:p>
        </w:tc>
        <w:tc>
          <w:tcPr>
            <w:tcW w:w="5002" w:type="dxa"/>
            <w:gridSpan w:val="4"/>
            <w:vAlign w:val="center"/>
          </w:tcPr>
          <w:p w14:paraId="320B7B06">
            <w:pPr>
              <w:jc w:val="center"/>
              <w:rPr>
                <w:rFonts w:ascii="仿宋_GB2312" w:hAnsi="宋体" w:eastAsia="仿宋_GB2312"/>
                <w:color w:val="000000"/>
                <w:sz w:val="32"/>
                <w:szCs w:val="32"/>
              </w:rPr>
            </w:pPr>
            <w:r>
              <w:rPr>
                <w:rFonts w:hint="eastAsia" w:ascii="仿宋_GB2312" w:hAnsi="宋体" w:eastAsia="仿宋_GB2312"/>
                <w:color w:val="000000"/>
                <w:sz w:val="32"/>
                <w:szCs w:val="32"/>
              </w:rPr>
              <w:t>军委政治工作部/省级记协/</w:t>
            </w:r>
          </w:p>
          <w:p w14:paraId="5F485D2E">
            <w:pPr>
              <w:jc w:val="center"/>
              <w:rPr>
                <w:rFonts w:ascii="仿宋_GB2312" w:hAnsi="宋体" w:eastAsia="仿宋_GB2312"/>
                <w:color w:val="000000"/>
                <w:sz w:val="32"/>
                <w:szCs w:val="32"/>
              </w:rPr>
            </w:pPr>
            <w:r>
              <w:rPr>
                <w:rFonts w:hint="eastAsia" w:ascii="仿宋_GB2312" w:hAnsi="宋体" w:eastAsia="仿宋_GB2312"/>
                <w:color w:val="000000"/>
                <w:sz w:val="32"/>
                <w:szCs w:val="32"/>
              </w:rPr>
              <w:t>专业记协意见</w:t>
            </w:r>
          </w:p>
          <w:p w14:paraId="42D5861A">
            <w:pPr>
              <w:jc w:val="center"/>
              <w:rPr>
                <w:rFonts w:ascii="仿宋_GB2312" w:hAnsi="宋体" w:eastAsia="仿宋_GB2312"/>
                <w:color w:val="000000"/>
                <w:sz w:val="32"/>
                <w:szCs w:val="32"/>
              </w:rPr>
            </w:pPr>
            <w:r>
              <w:rPr>
                <w:rFonts w:hint="eastAsia" w:ascii="仿宋_GB2312" w:hAnsi="宋体" w:eastAsia="仿宋_GB2312"/>
                <w:color w:val="000000"/>
                <w:sz w:val="32"/>
                <w:szCs w:val="32"/>
              </w:rPr>
              <w:t>（盖章）</w:t>
            </w:r>
          </w:p>
          <w:p w14:paraId="345A82FA">
            <w:pPr>
              <w:jc w:val="center"/>
              <w:rPr>
                <w:rFonts w:ascii="仿宋_GB2312" w:hAnsi="宋体" w:eastAsia="仿宋_GB2312"/>
                <w:color w:val="000000"/>
                <w:sz w:val="32"/>
                <w:szCs w:val="32"/>
              </w:rPr>
            </w:pPr>
          </w:p>
          <w:p w14:paraId="5A1AF2CE">
            <w:pPr>
              <w:jc w:val="center"/>
              <w:rPr>
                <w:rFonts w:ascii="仿宋_GB2312" w:hAnsi="宋体" w:eastAsia="仿宋_GB2312"/>
                <w:color w:val="000000"/>
                <w:sz w:val="32"/>
                <w:szCs w:val="32"/>
              </w:rPr>
            </w:pPr>
          </w:p>
          <w:p w14:paraId="0ABF30AE">
            <w:pPr>
              <w:jc w:val="center"/>
              <w:rPr>
                <w:sz w:val="32"/>
                <w:szCs w:val="32"/>
              </w:rPr>
            </w:pPr>
            <w:r>
              <w:rPr>
                <w:rFonts w:hint="eastAsia" w:ascii="仿宋_GB2312" w:hAnsi="宋体" w:eastAsia="仿宋_GB2312"/>
                <w:color w:val="000000"/>
                <w:sz w:val="32"/>
                <w:szCs w:val="32"/>
              </w:rPr>
              <w:t>20</w:t>
            </w:r>
            <w:r>
              <w:rPr>
                <w:rFonts w:ascii="仿宋_GB2312" w:hAnsi="宋体" w:eastAsia="仿宋_GB2312"/>
                <w:color w:val="000000"/>
                <w:sz w:val="32"/>
                <w:szCs w:val="32"/>
              </w:rPr>
              <w:t>25</w:t>
            </w:r>
            <w:r>
              <w:rPr>
                <w:rFonts w:hint="eastAsia" w:ascii="仿宋_GB2312" w:hAnsi="宋体" w:eastAsia="仿宋_GB2312"/>
                <w:color w:val="000000"/>
                <w:sz w:val="32"/>
                <w:szCs w:val="32"/>
              </w:rPr>
              <w:t>年  月  日</w:t>
            </w:r>
          </w:p>
        </w:tc>
        <w:tc>
          <w:tcPr>
            <w:tcW w:w="3140" w:type="dxa"/>
            <w:gridSpan w:val="3"/>
            <w:vAlign w:val="center"/>
          </w:tcPr>
          <w:p w14:paraId="5641D743">
            <w:pPr>
              <w:jc w:val="center"/>
              <w:rPr>
                <w:rFonts w:ascii="仿宋_GB2312" w:hAnsi="宋体" w:eastAsia="仿宋_GB2312"/>
                <w:color w:val="000000"/>
                <w:sz w:val="32"/>
                <w:szCs w:val="32"/>
              </w:rPr>
            </w:pPr>
            <w:r>
              <w:rPr>
                <w:rFonts w:hint="eastAsia" w:ascii="宋体" w:hAnsi="宋体" w:eastAsia="宋体"/>
                <w:color w:val="000000"/>
                <w:sz w:val="32"/>
                <w:szCs w:val="32"/>
              </w:rPr>
              <w:t xml:space="preserve"> </w:t>
            </w:r>
            <w:r>
              <w:rPr>
                <w:rFonts w:hint="eastAsia" w:ascii="仿宋_GB2312" w:hAnsi="宋体" w:eastAsia="仿宋_GB2312"/>
                <w:color w:val="000000"/>
                <w:sz w:val="32"/>
                <w:szCs w:val="32"/>
              </w:rPr>
              <w:t>省级党委宣传部意见</w:t>
            </w:r>
          </w:p>
          <w:p w14:paraId="5618D710">
            <w:pPr>
              <w:jc w:val="center"/>
              <w:rPr>
                <w:rFonts w:ascii="仿宋_GB2312" w:hAnsi="宋体" w:eastAsia="仿宋_GB2312"/>
                <w:color w:val="000000"/>
                <w:sz w:val="32"/>
                <w:szCs w:val="32"/>
              </w:rPr>
            </w:pPr>
            <w:r>
              <w:rPr>
                <w:rFonts w:hint="eastAsia" w:ascii="仿宋_GB2312" w:hAnsi="宋体" w:eastAsia="仿宋_GB2312"/>
                <w:color w:val="000000"/>
                <w:sz w:val="32"/>
                <w:szCs w:val="32"/>
              </w:rPr>
              <w:t>（盖章）</w:t>
            </w:r>
          </w:p>
          <w:p w14:paraId="046D8824">
            <w:pPr>
              <w:jc w:val="center"/>
              <w:rPr>
                <w:rFonts w:ascii="仿宋_GB2312" w:hAnsi="宋体" w:eastAsia="仿宋_GB2312"/>
                <w:color w:val="000000"/>
                <w:sz w:val="32"/>
                <w:szCs w:val="32"/>
              </w:rPr>
            </w:pPr>
          </w:p>
          <w:p w14:paraId="0F51569F">
            <w:pPr>
              <w:jc w:val="center"/>
              <w:rPr>
                <w:rFonts w:ascii="仿宋_GB2312" w:hAnsi="宋体" w:eastAsia="仿宋_GB2312"/>
                <w:color w:val="000000"/>
                <w:sz w:val="32"/>
                <w:szCs w:val="32"/>
              </w:rPr>
            </w:pPr>
          </w:p>
          <w:p w14:paraId="7443E705">
            <w:pPr>
              <w:jc w:val="center"/>
              <w:rPr>
                <w:rFonts w:ascii="仿宋_GB2312" w:hAnsi="宋体" w:eastAsia="仿宋_GB2312"/>
                <w:color w:val="000000"/>
                <w:sz w:val="32"/>
                <w:szCs w:val="32"/>
              </w:rPr>
            </w:pPr>
          </w:p>
          <w:p w14:paraId="0FE2CDBF">
            <w:pPr>
              <w:jc w:val="center"/>
              <w:rPr>
                <w:sz w:val="32"/>
                <w:szCs w:val="32"/>
              </w:rPr>
            </w:pPr>
            <w:r>
              <w:rPr>
                <w:rFonts w:hint="eastAsia" w:ascii="仿宋_GB2312" w:hAnsi="宋体" w:eastAsia="仿宋_GB2312"/>
                <w:color w:val="000000"/>
                <w:sz w:val="32"/>
                <w:szCs w:val="32"/>
              </w:rPr>
              <w:t>20</w:t>
            </w:r>
            <w:r>
              <w:rPr>
                <w:rFonts w:ascii="仿宋_GB2312" w:hAnsi="宋体" w:eastAsia="仿宋_GB2312"/>
                <w:color w:val="000000"/>
                <w:sz w:val="32"/>
                <w:szCs w:val="32"/>
              </w:rPr>
              <w:t>25</w:t>
            </w:r>
            <w:r>
              <w:rPr>
                <w:rFonts w:hint="eastAsia" w:ascii="仿宋_GB2312" w:hAnsi="宋体" w:eastAsia="仿宋_GB2312"/>
                <w:color w:val="000000"/>
                <w:sz w:val="32"/>
                <w:szCs w:val="32"/>
              </w:rPr>
              <w:t>年  月  日</w:t>
            </w:r>
          </w:p>
        </w:tc>
      </w:tr>
    </w:tbl>
    <w:p w14:paraId="047EA612">
      <w:pPr>
        <w:ind w:firstLine="5520" w:firstLineChars="2300"/>
        <w:jc w:val="both"/>
        <w:rPr>
          <w:rFonts w:hint="eastAsia" w:ascii="黑体" w:hAnsi="黑体" w:eastAsia="黑体"/>
          <w:sz w:val="32"/>
          <w:szCs w:val="32"/>
          <w:lang w:eastAsia="zh-CN"/>
        </w:rPr>
      </w:pPr>
      <w:r>
        <w:rPr>
          <w:rFonts w:hint="eastAsia" w:ascii="黑体" w:eastAsia="黑体"/>
          <w:sz w:val="24"/>
          <w:szCs w:val="24"/>
        </w:rPr>
        <w:t>中国记协202</w:t>
      </w:r>
      <w:r>
        <w:rPr>
          <w:rFonts w:ascii="黑体" w:eastAsia="黑体"/>
          <w:sz w:val="24"/>
          <w:szCs w:val="24"/>
        </w:rPr>
        <w:t>5</w:t>
      </w:r>
      <w:r>
        <w:rPr>
          <w:rFonts w:hint="eastAsia" w:ascii="黑体" w:eastAsia="黑体"/>
          <w:sz w:val="24"/>
          <w:szCs w:val="24"/>
        </w:rPr>
        <w:t>年统一印制</w:t>
      </w:r>
    </w:p>
    <w:p w14:paraId="4563A10B">
      <w:pPr>
        <w:jc w:val="left"/>
        <w:rPr>
          <w:rFonts w:hint="eastAsia" w:ascii="仿宋_GB2312" w:hAnsi="仿宋_GB2312" w:eastAsia="仿宋_GB2312" w:cs="仿宋_GB2312"/>
          <w:sz w:val="32"/>
          <w:szCs w:val="32"/>
          <w:lang w:val="en-US" w:eastAsia="zh-CN"/>
        </w:rPr>
      </w:pPr>
      <w:r>
        <w:rPr>
          <w:rFonts w:hint="eastAsia" w:ascii="黑体" w:hAnsi="黑体" w:eastAsia="黑体"/>
          <w:sz w:val="32"/>
          <w:szCs w:val="32"/>
          <w:lang w:eastAsia="zh-CN"/>
        </w:rPr>
        <w:t>推荐单位联系人：</w:t>
      </w:r>
      <w:r>
        <w:rPr>
          <w:rFonts w:hint="eastAsia" w:ascii="方正仿宋_GB2312" w:hAnsi="方正仿宋_GB2312" w:eastAsia="方正仿宋_GB2312" w:cs="方正仿宋_GB2312"/>
          <w:sz w:val="32"/>
          <w:szCs w:val="32"/>
          <w:lang w:eastAsia="zh-CN"/>
        </w:rPr>
        <w:t>邵国斌</w:t>
      </w:r>
      <w:r>
        <w:rPr>
          <w:rFonts w:hint="eastAsia" w:ascii="黑体" w:hAnsi="黑体" w:eastAsia="黑体"/>
          <w:sz w:val="32"/>
          <w:szCs w:val="32"/>
          <w:lang w:val="en-US" w:eastAsia="zh-CN"/>
        </w:rPr>
        <w:t xml:space="preserve">            联系人手机:</w:t>
      </w:r>
    </w:p>
    <w:p w14:paraId="1614AC5D">
      <w:pPr>
        <w:pStyle w:val="2"/>
        <w:keepNext w:val="0"/>
        <w:keepLines w:val="0"/>
        <w:pageBreakBefore w:val="0"/>
        <w:widowControl/>
        <w:suppressLineNumbers w:val="0"/>
        <w:kinsoku/>
        <w:wordWrap/>
        <w:overflowPunct/>
        <w:topLinePunct w:val="0"/>
        <w:autoSpaceDE/>
        <w:autoSpaceDN/>
        <w:bidi w:val="0"/>
        <w:adjustRightInd/>
        <w:snapToGrid/>
        <w:spacing w:line="400" w:lineRule="exact"/>
        <w:ind w:firstLine="2530" w:firstLineChars="700"/>
        <w:jc w:val="both"/>
        <w:textAlignment w:val="auto"/>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 xml:space="preserve">奔跑在新闻事业第一线 </w:t>
      </w:r>
    </w:p>
    <w:p w14:paraId="7368C97A">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从2004年进入新闻战线至今，</w:t>
      </w:r>
      <w:r>
        <w:rPr>
          <w:rFonts w:hint="eastAsia" w:ascii="仿宋_GB2312" w:hAnsi="仿宋_GB2312" w:eastAsia="仿宋_GB2312" w:cs="仿宋_GB2312"/>
          <w:sz w:val="32"/>
          <w:szCs w:val="32"/>
          <w:lang w:val="en-US" w:eastAsia="zh-CN"/>
        </w:rPr>
        <w:t>刘慧</w:t>
      </w:r>
      <w:r>
        <w:rPr>
          <w:rFonts w:hint="eastAsia" w:ascii="仿宋_GB2312" w:hAnsi="仿宋_GB2312" w:eastAsia="仿宋_GB2312" w:cs="仿宋_GB2312"/>
          <w:sz w:val="32"/>
          <w:szCs w:val="32"/>
        </w:rPr>
        <w:t>用心用情记录时代，创制了一批鲜活有味、创新有质、融合有度的新闻作品。近5年，6次获得中国新闻奖、4次获得中国广播电视大奖、20余次获得新疆新闻奖一等奖。政治坚定、业务精湛、作风优良，2022年获评新疆文化名家暨“四个一批”人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2025年获评国家文化英才。</w:t>
      </w:r>
    </w:p>
    <w:p w14:paraId="6487E050">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敢于亮剑</w:t>
      </w:r>
      <w:r>
        <w:rPr>
          <w:rFonts w:hint="eastAsia" w:ascii="黑体" w:hAnsi="黑体" w:eastAsia="黑体" w:cs="黑体"/>
          <w:sz w:val="32"/>
          <w:szCs w:val="32"/>
          <w:lang w:val="en-US" w:eastAsia="zh-CN"/>
        </w:rPr>
        <w:t xml:space="preserve"> 冲在涉疆国际传播第一线</w:t>
      </w:r>
    </w:p>
    <w:p w14:paraId="6CC3C294">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刘慧</w:t>
      </w:r>
      <w:r>
        <w:rPr>
          <w:rFonts w:hint="eastAsia" w:ascii="仿宋_GB2312" w:hAnsi="仿宋_GB2312" w:eastAsia="仿宋_GB2312" w:cs="仿宋_GB2312"/>
          <w:sz w:val="32"/>
          <w:szCs w:val="32"/>
        </w:rPr>
        <w:t>负责管理的新疆卫视《今日聚焦》，是新疆广播电视台坚持</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年倾力打造的旗舰新闻栏目，用汉、维吾尔、哈萨克三种语言播出。栏目优秀节目还会翻译成吉尔吉斯语、土耳其语在境外播出，既是“一带一路”共建国家了解中国的重要窗口，更是涉疆国际传播的舆论阵地。</w:t>
      </w:r>
    </w:p>
    <w:p w14:paraId="69BADE5A">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针对美西方在反恐、人权、宗教、产业等方面对新疆的蓄意抹黑和污蔑，</w:t>
      </w:r>
      <w:r>
        <w:rPr>
          <w:rFonts w:hint="eastAsia" w:ascii="仿宋_GB2312" w:hAnsi="仿宋_GB2312" w:eastAsia="仿宋_GB2312" w:cs="仿宋_GB2312"/>
          <w:sz w:val="32"/>
          <w:szCs w:val="32"/>
          <w:lang w:val="en-US" w:eastAsia="zh-CN"/>
        </w:rPr>
        <w:t>刘慧</w:t>
      </w:r>
      <w:r>
        <w:rPr>
          <w:rFonts w:hint="eastAsia" w:ascii="仿宋_GB2312" w:hAnsi="仿宋_GB2312" w:eastAsia="仿宋_GB2312" w:cs="仿宋_GB2312"/>
          <w:sz w:val="32"/>
          <w:szCs w:val="32"/>
        </w:rPr>
        <w:t>作为主创带领团队采制播发了《反恐维稳的新疆实践》《美国“2019年维吾尔人权法案”打了谁的脸》《追求美好生活不是“强迫劳动”》《新疆番茄不惧贸易逆流》等一批优秀作品，敢于斗争，善于斗争，主动亮剑，有力回击了美西方对中国新疆的歪曲和污蔑，在国内外引起巨大反响，得到中宣部和自治区党委宣传部的肯定，这些作品都获得当年的中国新闻奖，《今日聚焦》获得“中国广播电视新闻名专栏”称号。</w:t>
      </w:r>
    </w:p>
    <w:p w14:paraId="450E0344">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践行“四力” 跑在基层急难险重第一线</w:t>
      </w:r>
    </w:p>
    <w:p w14:paraId="69C18C58">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多</w:t>
      </w:r>
      <w:r>
        <w:rPr>
          <w:rFonts w:hint="eastAsia" w:ascii="仿宋_GB2312" w:hAnsi="仿宋_GB2312" w:eastAsia="仿宋_GB2312" w:cs="仿宋_GB2312"/>
          <w:sz w:val="32"/>
          <w:szCs w:val="32"/>
        </w:rPr>
        <w:t>年来，无论山区、荒漠，还是田间地头、雪域高原，</w:t>
      </w:r>
      <w:r>
        <w:rPr>
          <w:rFonts w:hint="eastAsia" w:ascii="仿宋_GB2312" w:hAnsi="仿宋_GB2312" w:eastAsia="仿宋_GB2312" w:cs="仿宋_GB2312"/>
          <w:sz w:val="32"/>
          <w:szCs w:val="32"/>
          <w:lang w:val="en-US" w:eastAsia="zh-CN"/>
        </w:rPr>
        <w:t>刘慧</w:t>
      </w:r>
      <w:r>
        <w:rPr>
          <w:rFonts w:hint="eastAsia" w:ascii="仿宋_GB2312" w:hAnsi="仿宋_GB2312" w:eastAsia="仿宋_GB2312" w:cs="仿宋_GB2312"/>
          <w:sz w:val="32"/>
          <w:szCs w:val="32"/>
        </w:rPr>
        <w:t>始终带着新闻人的热忱，到基层采访真实故事，倾听群众需求、记录百姓心声，将正能量变“大流量”。</w:t>
      </w:r>
    </w:p>
    <w:p w14:paraId="16004F9A">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是全国脱贫攻坚的关键期，当年6月，喀什地区叶城县西合休乡的光伏电升级，与全国大电网联通。至此，新疆实现大电网全覆盖，边远山区的农牧民生活实现了“两不愁三保障”。3年时间里，国家先后投入15亿元，帮助西合休乡的9个民族、6500多名群众实现从贫穷到小康的跨越。“全面建成小康社会，一个民族都不能少”，习近平总书记的郑重承诺在这里得到生动实践。</w:t>
      </w:r>
      <w:r>
        <w:rPr>
          <w:rFonts w:hint="eastAsia" w:ascii="仿宋_GB2312" w:hAnsi="仿宋_GB2312" w:eastAsia="仿宋_GB2312" w:cs="仿宋_GB2312"/>
          <w:sz w:val="32"/>
          <w:szCs w:val="32"/>
          <w:lang w:val="en-US" w:eastAsia="zh-CN"/>
        </w:rPr>
        <w:t>刘慧带领</w:t>
      </w:r>
      <w:r>
        <w:rPr>
          <w:rFonts w:hint="eastAsia" w:ascii="仿宋_GB2312" w:hAnsi="仿宋_GB2312" w:eastAsia="仿宋_GB2312" w:cs="仿宋_GB2312"/>
          <w:sz w:val="32"/>
          <w:szCs w:val="32"/>
        </w:rPr>
        <w:t>主创团队3次前往平均海拔3500米以上的喀喇昆仑山腹地，用镜头记录在高山绝壁架设电力线路的艰难进程和通电后乡亲们创造美好生活的奋斗场景。采制的专题《点亮西合休乡新生活》传递了新疆各族人民感恩共产党、忠诚守边的家国情怀，获得第31届中国新闻奖。</w:t>
      </w:r>
    </w:p>
    <w:p w14:paraId="5EB8B0A9">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2021年4月30日，一个断臂男孩牵动了无数人的心。从和田到乌鲁木齐，跨越1400多公里，历时7小时，展开了一场惊心动魄的接力救护。作为主创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刘慧</w:t>
      </w:r>
      <w:r>
        <w:rPr>
          <w:rFonts w:hint="eastAsia" w:ascii="仿宋_GB2312" w:hAnsi="仿宋_GB2312" w:eastAsia="仿宋_GB2312" w:cs="仿宋_GB2312"/>
          <w:sz w:val="32"/>
          <w:szCs w:val="32"/>
        </w:rPr>
        <w:t>第一时间组织团队，采访参与救援的新闻人物，讲出了一个“人民至上，生命至上”的中国故事，在《焦点访谈》等栏目播出，新疆许多单位将该作品作为党史学习教育不断走深走实的生动教材。</w:t>
      </w:r>
    </w:p>
    <w:p w14:paraId="31001C8F">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扎根时代 干在改革发展创新第一线</w:t>
      </w:r>
    </w:p>
    <w:p w14:paraId="18BAD948">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紧跟时代脉搏，</w:t>
      </w:r>
      <w:r>
        <w:rPr>
          <w:rFonts w:hint="eastAsia" w:ascii="仿宋_GB2312" w:hAnsi="仿宋_GB2312" w:eastAsia="仿宋_GB2312" w:cs="仿宋_GB2312"/>
          <w:sz w:val="32"/>
          <w:szCs w:val="32"/>
          <w:lang w:val="en-US" w:eastAsia="zh-CN"/>
        </w:rPr>
        <w:t>刘慧</w:t>
      </w:r>
      <w:r>
        <w:rPr>
          <w:rFonts w:hint="eastAsia" w:ascii="仿宋_GB2312" w:hAnsi="仿宋_GB2312" w:eastAsia="仿宋_GB2312" w:cs="仿宋_GB2312"/>
          <w:sz w:val="32"/>
          <w:szCs w:val="32"/>
        </w:rPr>
        <w:t>持续围绕全国性、全局性重大事件推出重大主题策划，包括新中国成立75周年、党的二十大胜利召开、中国共产党成立100周年、习近平总书记视察新疆等。</w:t>
      </w:r>
    </w:p>
    <w:p w14:paraId="3856D4CC">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融媒体时代，</w:t>
      </w:r>
      <w:r>
        <w:rPr>
          <w:rFonts w:hint="eastAsia" w:ascii="仿宋_GB2312" w:hAnsi="仿宋_GB2312" w:eastAsia="仿宋_GB2312" w:cs="仿宋_GB2312"/>
          <w:sz w:val="32"/>
          <w:szCs w:val="32"/>
          <w:lang w:val="en-US" w:eastAsia="zh-CN"/>
        </w:rPr>
        <w:t>刘慧</w:t>
      </w:r>
      <w:r>
        <w:rPr>
          <w:rFonts w:hint="eastAsia" w:ascii="仿宋_GB2312" w:hAnsi="仿宋_GB2312" w:eastAsia="仿宋_GB2312" w:cs="仿宋_GB2312"/>
          <w:sz w:val="32"/>
          <w:szCs w:val="32"/>
        </w:rPr>
        <w:t>善创新，求转型。</w:t>
      </w:r>
      <w:r>
        <w:rPr>
          <w:rFonts w:hint="eastAsia" w:ascii="仿宋_GB2312" w:hAnsi="仿宋_GB2312" w:eastAsia="仿宋_GB2312" w:cs="仿宋_GB2312"/>
          <w:sz w:val="32"/>
          <w:szCs w:val="32"/>
          <w:lang w:val="en-US" w:eastAsia="zh-CN"/>
        </w:rPr>
        <w:t>近三年</w:t>
      </w:r>
      <w:r>
        <w:rPr>
          <w:rFonts w:hint="eastAsia" w:ascii="仿宋_GB2312" w:hAnsi="仿宋_GB2312" w:eastAsia="仿宋_GB2312" w:cs="仿宋_GB2312"/>
          <w:sz w:val="32"/>
          <w:szCs w:val="32"/>
        </w:rPr>
        <w:t>全国“两会”期间，</w:t>
      </w:r>
      <w:r>
        <w:rPr>
          <w:rFonts w:hint="eastAsia" w:ascii="仿宋_GB2312" w:hAnsi="仿宋_GB2312" w:eastAsia="仿宋_GB2312" w:cs="仿宋_GB2312"/>
          <w:sz w:val="32"/>
          <w:szCs w:val="32"/>
          <w:lang w:val="en-US" w:eastAsia="zh-CN"/>
        </w:rPr>
        <w:t>她</w:t>
      </w:r>
      <w:r>
        <w:rPr>
          <w:rFonts w:hint="eastAsia" w:ascii="仿宋_GB2312" w:hAnsi="仿宋_GB2312" w:eastAsia="仿宋_GB2312" w:cs="仿宋_GB2312"/>
          <w:sz w:val="32"/>
          <w:szCs w:val="32"/>
        </w:rPr>
        <w:t>带领团队重构采编流程，大小屏跨屏传播，制作</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系列短视频受到国家广电总局点名表扬。</w:t>
      </w:r>
      <w:r>
        <w:rPr>
          <w:rFonts w:hint="eastAsia" w:ascii="仿宋_GB2312" w:hAnsi="仿宋_GB2312" w:eastAsia="仿宋_GB2312" w:cs="仿宋_GB2312"/>
          <w:sz w:val="32"/>
          <w:szCs w:val="32"/>
          <w:lang w:val="en-US" w:eastAsia="zh-CN"/>
        </w:rPr>
        <w:t>2024年是</w:t>
      </w:r>
      <w:r>
        <w:rPr>
          <w:rFonts w:hint="eastAsia" w:ascii="仿宋_GB2312" w:hAnsi="仿宋_GB2312" w:eastAsia="仿宋_GB2312" w:cs="仿宋_GB2312"/>
          <w:sz w:val="32"/>
          <w:szCs w:val="32"/>
        </w:rPr>
        <w:t>习近平总书记给保定学院西部支教毕业生群体代表回信十周年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刘慧</w:t>
      </w:r>
      <w:r>
        <w:rPr>
          <w:rFonts w:hint="eastAsia" w:ascii="仿宋_GB2312" w:hAnsi="仿宋_GB2312" w:eastAsia="仿宋_GB2312" w:cs="仿宋_GB2312"/>
          <w:sz w:val="32"/>
          <w:szCs w:val="32"/>
        </w:rPr>
        <w:t>作为主创，参与策划了新疆广播电视台与长城融媒体集团跨省联动融合报道《从太行到昆仑 24载以青春为名》，视频总播放量超1000万，成为重大主题报道跨省区融合传播的一次成功实践。</w:t>
      </w:r>
    </w:p>
    <w:p w14:paraId="13A63B0A">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迄今</w:t>
      </w:r>
      <w:r>
        <w:rPr>
          <w:rFonts w:hint="eastAsia" w:ascii="仿宋_GB2312" w:hAnsi="仿宋_GB2312" w:eastAsia="仿宋_GB2312" w:cs="仿宋_GB2312"/>
          <w:sz w:val="32"/>
          <w:szCs w:val="32"/>
          <w:lang w:val="en-US" w:eastAsia="zh-CN"/>
        </w:rPr>
        <w:t>刘慧</w:t>
      </w:r>
      <w:r>
        <w:rPr>
          <w:rFonts w:hint="eastAsia" w:ascii="仿宋_GB2312" w:hAnsi="仿宋_GB2312" w:eastAsia="仿宋_GB2312" w:cs="仿宋_GB2312"/>
          <w:sz w:val="32"/>
          <w:szCs w:val="32"/>
        </w:rPr>
        <w:t>已创作了近100篇评论，产生了较好反响。独立发表了《多元语境下电视新闻评论节目的强化与创新》《新媒体环境下新闻专题报道的创新策略分析》等多篇论文，为融媒时代主流媒体提升传播力、引导力、影响力、公信力贡献智慧。</w:t>
      </w:r>
    </w:p>
    <w:p w14:paraId="7DC055D0">
      <w:pPr>
        <w:pStyle w:val="5"/>
        <w:keepNext w:val="0"/>
        <w:keepLines w:val="0"/>
        <w:pageBreakBefore w:val="0"/>
        <w:widowControl/>
        <w:suppressLineNumbers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新时代召唤“好记者”，</w:t>
      </w:r>
      <w:r>
        <w:rPr>
          <w:rFonts w:hint="eastAsia" w:ascii="仿宋_GB2312" w:hAnsi="仿宋_GB2312" w:eastAsia="仿宋_GB2312" w:cs="仿宋_GB2312"/>
          <w:sz w:val="32"/>
          <w:szCs w:val="32"/>
          <w:lang w:val="en-US" w:eastAsia="zh-CN"/>
        </w:rPr>
        <w:t>刘慧会</w:t>
      </w:r>
      <w:r>
        <w:rPr>
          <w:rFonts w:hint="eastAsia" w:ascii="仿宋_GB2312" w:hAnsi="仿宋_GB2312" w:eastAsia="仿宋_GB2312" w:cs="仿宋_GB2312"/>
          <w:sz w:val="32"/>
          <w:szCs w:val="32"/>
        </w:rPr>
        <w:t>以扎根时代的视角，扎根人民的作风，扎根基层的本领，扎根融合的能力，带动更多记者“扎下去，强起来”，奋力奔跑在新闻事业的第一线。</w:t>
      </w:r>
    </w:p>
    <w:p w14:paraId="28212FE4">
      <w:pPr>
        <w:keepNext w:val="0"/>
        <w:keepLines w:val="0"/>
        <w:pageBreakBefore w:val="0"/>
        <w:kinsoku/>
        <w:wordWrap/>
        <w:overflowPunct/>
        <w:topLinePunct w:val="0"/>
        <w:autoSpaceDE/>
        <w:autoSpaceDN/>
        <w:bidi w:val="0"/>
        <w:adjustRightInd/>
        <w:snapToGrid/>
        <w:spacing w:line="320" w:lineRule="exact"/>
        <w:textAlignment w:val="auto"/>
      </w:pPr>
    </w:p>
    <w:p w14:paraId="4853E827">
      <w:pPr>
        <w:spacing w:line="216" w:lineRule="auto"/>
        <w:rPr>
          <w:sz w:val="33"/>
        </w:rPr>
      </w:pPr>
    </w:p>
    <w:p w14:paraId="440FAA9E">
      <w:pPr>
        <w:spacing w:line="216" w:lineRule="auto"/>
        <w:jc w:val="center"/>
        <w:rPr>
          <w:rFonts w:hint="eastAsia" w:ascii="华文中宋" w:hAnsi="华文中宋" w:eastAsia="华文中宋" w:cs="华文中宋"/>
          <w:b/>
          <w:color w:val="000000"/>
          <w:sz w:val="36"/>
          <w:szCs w:val="36"/>
        </w:rPr>
      </w:pPr>
    </w:p>
    <w:p w14:paraId="1317DEB3">
      <w:pPr>
        <w:spacing w:line="216" w:lineRule="auto"/>
        <w:jc w:val="center"/>
        <w:rPr>
          <w:rFonts w:hint="eastAsia" w:ascii="华文中宋" w:hAnsi="华文中宋" w:eastAsia="华文中宋" w:cs="华文中宋"/>
          <w:b/>
          <w:color w:val="000000"/>
          <w:sz w:val="36"/>
          <w:szCs w:val="36"/>
        </w:rPr>
      </w:pPr>
    </w:p>
    <w:p w14:paraId="11670FAD">
      <w:pPr>
        <w:spacing w:line="216" w:lineRule="auto"/>
        <w:jc w:val="center"/>
        <w:rPr>
          <w:rFonts w:hint="eastAsia" w:ascii="华文中宋" w:hAnsi="华文中宋" w:eastAsia="华文中宋" w:cs="华文中宋"/>
          <w:b/>
          <w:color w:val="000000"/>
          <w:sz w:val="36"/>
          <w:szCs w:val="36"/>
        </w:rPr>
      </w:pPr>
    </w:p>
    <w:p w14:paraId="7756F3CA">
      <w:pPr>
        <w:spacing w:line="216" w:lineRule="auto"/>
        <w:jc w:val="center"/>
        <w:rPr>
          <w:rFonts w:ascii="华文中宋" w:hAnsi="华文中宋" w:eastAsia="华文中宋" w:cs="华文中宋"/>
          <w:b/>
          <w:color w:val="000000"/>
          <w:sz w:val="36"/>
          <w:szCs w:val="36"/>
        </w:rPr>
      </w:pPr>
      <w:bookmarkStart w:id="0" w:name="_GoBack"/>
      <w:bookmarkEnd w:id="0"/>
      <w:r>
        <w:rPr>
          <w:rFonts w:hint="eastAsia" w:ascii="华文中宋" w:hAnsi="华文中宋" w:eastAsia="华文中宋" w:cs="华文中宋"/>
          <w:b/>
          <w:color w:val="000000"/>
          <w:sz w:val="36"/>
          <w:szCs w:val="36"/>
        </w:rPr>
        <w:t>代表作登记表</w:t>
      </w:r>
    </w:p>
    <w:p w14:paraId="3633F210">
      <w:pPr>
        <w:spacing w:line="216" w:lineRule="auto"/>
        <w:rPr>
          <w:sz w:val="33"/>
        </w:rPr>
      </w:pPr>
    </w:p>
    <w:tbl>
      <w:tblPr>
        <w:tblStyle w:val="6"/>
        <w:tblW w:w="10100"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2663"/>
        <w:gridCol w:w="1803"/>
        <w:gridCol w:w="1762"/>
        <w:gridCol w:w="3872"/>
      </w:tblGrid>
      <w:tr w14:paraId="6E6A422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20" w:hRule="atLeast"/>
          <w:jc w:val="center"/>
        </w:trPr>
        <w:tc>
          <w:tcPr>
            <w:tcW w:w="2663" w:type="dxa"/>
            <w:tcBorders>
              <w:top w:val="single" w:color="000000" w:sz="4" w:space="0"/>
              <w:left w:val="single" w:color="000000" w:sz="4" w:space="0"/>
              <w:bottom w:val="single" w:color="000000" w:sz="4" w:space="0"/>
              <w:right w:val="single" w:color="000000" w:sz="4" w:space="0"/>
            </w:tcBorders>
            <w:vAlign w:val="center"/>
          </w:tcPr>
          <w:p w14:paraId="10EE4387">
            <w:pPr>
              <w:jc w:val="center"/>
              <w:rPr>
                <w:rFonts w:ascii="仿宋_GB2312" w:hAnsi="宋体" w:eastAsia="仿宋_GB2312" w:cs="宋体"/>
                <w:sz w:val="32"/>
                <w:szCs w:val="32"/>
              </w:rPr>
            </w:pPr>
            <w:r>
              <w:rPr>
                <w:rFonts w:hint="eastAsia" w:ascii="仿宋_GB2312" w:hAnsi="宋体" w:eastAsia="仿宋_GB2312" w:cs="宋体"/>
                <w:color w:val="000000"/>
                <w:sz w:val="32"/>
                <w:szCs w:val="32"/>
              </w:rPr>
              <w:t>作者姓名</w:t>
            </w:r>
          </w:p>
        </w:tc>
        <w:tc>
          <w:tcPr>
            <w:tcW w:w="1803" w:type="dxa"/>
            <w:tcBorders>
              <w:top w:val="single" w:color="000000" w:sz="4" w:space="0"/>
              <w:left w:val="single" w:color="000000" w:sz="4" w:space="0"/>
              <w:bottom w:val="single" w:color="000000" w:sz="4" w:space="0"/>
              <w:right w:val="single" w:color="000000" w:sz="4" w:space="0"/>
            </w:tcBorders>
            <w:vAlign w:val="center"/>
          </w:tcPr>
          <w:p w14:paraId="07AD4907">
            <w:pPr>
              <w:jc w:val="center"/>
              <w:rPr>
                <w:rFonts w:hint="eastAsia" w:ascii="宋体" w:hAnsi="宋体" w:eastAsia="宋体" w:cs="宋体"/>
                <w:sz w:val="32"/>
                <w:szCs w:val="32"/>
                <w:lang w:val="en-US" w:eastAsia="zh-CN"/>
              </w:rPr>
            </w:pPr>
            <w:r>
              <w:rPr>
                <w:rFonts w:hint="eastAsia" w:ascii="仿宋_GB2312" w:hAnsi="宋体" w:eastAsia="仿宋_GB2312" w:cs="宋体"/>
                <w:color w:val="000000"/>
                <w:sz w:val="32"/>
                <w:szCs w:val="32"/>
                <w:lang w:val="en-US" w:eastAsia="zh-CN"/>
              </w:rPr>
              <w:t>刘慧</w:t>
            </w:r>
          </w:p>
        </w:tc>
        <w:tc>
          <w:tcPr>
            <w:tcW w:w="1762" w:type="dxa"/>
            <w:tcBorders>
              <w:top w:val="single" w:color="000000" w:sz="4" w:space="0"/>
              <w:left w:val="single" w:color="000000" w:sz="4" w:space="0"/>
              <w:bottom w:val="single" w:color="000000" w:sz="4" w:space="0"/>
              <w:right w:val="single" w:color="000000" w:sz="4" w:space="0"/>
            </w:tcBorders>
            <w:vAlign w:val="center"/>
          </w:tcPr>
          <w:p w14:paraId="66BBA7D9">
            <w:pPr>
              <w:jc w:val="center"/>
              <w:rPr>
                <w:rFonts w:ascii="宋体" w:hAnsi="宋体" w:eastAsia="宋体" w:cs="宋体"/>
                <w:sz w:val="32"/>
                <w:szCs w:val="32"/>
              </w:rPr>
            </w:pPr>
            <w:r>
              <w:rPr>
                <w:rFonts w:hint="eastAsia" w:ascii="仿宋_GB2312" w:hAnsi="宋体" w:eastAsia="仿宋_GB2312" w:cs="宋体"/>
                <w:color w:val="000000"/>
                <w:sz w:val="32"/>
                <w:szCs w:val="32"/>
              </w:rPr>
              <w:t>所在单位</w:t>
            </w:r>
          </w:p>
        </w:tc>
        <w:tc>
          <w:tcPr>
            <w:tcW w:w="3872" w:type="dxa"/>
            <w:tcBorders>
              <w:top w:val="single" w:color="000000" w:sz="4" w:space="0"/>
              <w:left w:val="single" w:color="000000" w:sz="4" w:space="0"/>
              <w:bottom w:val="single" w:color="000000" w:sz="4" w:space="0"/>
              <w:right w:val="single" w:color="000000" w:sz="4" w:space="0"/>
            </w:tcBorders>
            <w:vAlign w:val="center"/>
          </w:tcPr>
          <w:p w14:paraId="31BA71AC">
            <w:pPr>
              <w:jc w:val="center"/>
              <w:rPr>
                <w:rFonts w:hint="default" w:ascii="宋体" w:hAnsi="宋体" w:eastAsia="宋体" w:cs="宋体"/>
                <w:sz w:val="32"/>
                <w:szCs w:val="32"/>
                <w:lang w:val="en-US" w:eastAsia="zh-CN"/>
              </w:rPr>
            </w:pPr>
            <w:r>
              <w:rPr>
                <w:rFonts w:hint="eastAsia" w:ascii="仿宋_GB2312" w:hAnsi="宋体" w:eastAsia="仿宋_GB2312" w:cs="宋体"/>
                <w:color w:val="000000"/>
                <w:sz w:val="32"/>
                <w:szCs w:val="32"/>
                <w:lang w:val="en-US" w:eastAsia="zh-CN"/>
              </w:rPr>
              <w:t>新疆广播电视台</w:t>
            </w:r>
          </w:p>
        </w:tc>
      </w:tr>
      <w:tr w14:paraId="7956FF4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20" w:hRule="atLeast"/>
          <w:jc w:val="center"/>
        </w:trPr>
        <w:tc>
          <w:tcPr>
            <w:tcW w:w="2663" w:type="dxa"/>
            <w:tcBorders>
              <w:top w:val="single" w:color="000000" w:sz="4" w:space="0"/>
              <w:left w:val="single" w:color="000000" w:sz="4" w:space="0"/>
              <w:bottom w:val="single" w:color="000000" w:sz="4" w:space="0"/>
              <w:right w:val="single" w:color="000000" w:sz="4" w:space="0"/>
            </w:tcBorders>
            <w:vAlign w:val="center"/>
          </w:tcPr>
          <w:p w14:paraId="375EBAC2">
            <w:pPr>
              <w:jc w:val="center"/>
              <w:rPr>
                <w:rFonts w:ascii="宋体" w:hAnsi="宋体" w:eastAsia="宋体" w:cs="宋体"/>
                <w:sz w:val="32"/>
                <w:szCs w:val="32"/>
              </w:rPr>
            </w:pPr>
            <w:r>
              <w:rPr>
                <w:rFonts w:hint="eastAsia" w:ascii="仿宋_GB2312" w:hAnsi="宋体" w:eastAsia="仿宋_GB2312" w:cs="宋体"/>
                <w:color w:val="000000"/>
                <w:sz w:val="32"/>
                <w:szCs w:val="32"/>
              </w:rPr>
              <w:t>作品标题</w:t>
            </w:r>
          </w:p>
        </w:tc>
        <w:tc>
          <w:tcPr>
            <w:tcW w:w="7437" w:type="dxa"/>
            <w:gridSpan w:val="3"/>
            <w:tcBorders>
              <w:top w:val="single" w:color="000000" w:sz="4" w:space="0"/>
              <w:left w:val="single" w:color="000000" w:sz="4" w:space="0"/>
              <w:bottom w:val="single" w:color="000000" w:sz="4" w:space="0"/>
              <w:right w:val="single" w:color="000000" w:sz="4" w:space="0"/>
            </w:tcBorders>
            <w:vAlign w:val="center"/>
          </w:tcPr>
          <w:p w14:paraId="26BE8660">
            <w:pPr>
              <w:spacing w:line="380" w:lineRule="exact"/>
              <w:jc w:val="center"/>
              <w:rPr>
                <w:rFonts w:ascii="宋体" w:hAnsi="宋体" w:eastAsia="宋体" w:cs="宋体"/>
                <w:sz w:val="32"/>
                <w:szCs w:val="32"/>
              </w:rPr>
            </w:pPr>
            <w:r>
              <w:rPr>
                <w:rFonts w:hint="default" w:ascii="仿宋_GB2312" w:hAnsi="宋体" w:eastAsia="仿宋_GB2312" w:cs="宋体"/>
                <w:color w:val="000000"/>
                <w:sz w:val="32"/>
                <w:szCs w:val="32"/>
                <w:lang w:val="en-US" w:eastAsia="zh-CN"/>
              </w:rPr>
              <w:t>淤泥变沃土 戈壁造良田</w:t>
            </w:r>
          </w:p>
        </w:tc>
      </w:tr>
      <w:tr w14:paraId="1C70D0D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40" w:hRule="atLeast"/>
          <w:jc w:val="center"/>
        </w:trPr>
        <w:tc>
          <w:tcPr>
            <w:tcW w:w="2663" w:type="dxa"/>
            <w:tcBorders>
              <w:top w:val="single" w:color="000000" w:sz="4" w:space="0"/>
              <w:left w:val="single" w:color="000000" w:sz="4" w:space="0"/>
              <w:bottom w:val="single" w:color="000000" w:sz="4" w:space="0"/>
              <w:right w:val="single" w:color="000000" w:sz="4" w:space="0"/>
            </w:tcBorders>
            <w:vAlign w:val="center"/>
          </w:tcPr>
          <w:p w14:paraId="5A3C237F">
            <w:pPr>
              <w:jc w:val="center"/>
              <w:rPr>
                <w:rFonts w:ascii="宋体" w:hAnsi="宋体" w:eastAsia="宋体" w:cs="宋体"/>
                <w:sz w:val="32"/>
                <w:szCs w:val="32"/>
              </w:rPr>
            </w:pPr>
            <w:r>
              <w:rPr>
                <w:rFonts w:hint="eastAsia" w:ascii="仿宋_GB2312" w:hAnsi="宋体" w:eastAsia="仿宋_GB2312" w:cs="宋体"/>
                <w:color w:val="000000"/>
                <w:sz w:val="32"/>
                <w:szCs w:val="32"/>
              </w:rPr>
              <w:t>作品刊播单位</w:t>
            </w:r>
          </w:p>
        </w:tc>
        <w:tc>
          <w:tcPr>
            <w:tcW w:w="1803" w:type="dxa"/>
            <w:tcBorders>
              <w:top w:val="single" w:color="000000" w:sz="4" w:space="0"/>
              <w:left w:val="single" w:color="000000" w:sz="4" w:space="0"/>
              <w:bottom w:val="single" w:color="000000" w:sz="4" w:space="0"/>
              <w:right w:val="single" w:color="000000" w:sz="4" w:space="0"/>
            </w:tcBorders>
            <w:vAlign w:val="center"/>
          </w:tcPr>
          <w:p w14:paraId="555EBA61">
            <w:pPr>
              <w:rPr>
                <w:rFonts w:ascii="宋体" w:hAnsi="宋体" w:eastAsia="宋体" w:cs="宋体"/>
                <w:sz w:val="32"/>
                <w:szCs w:val="32"/>
              </w:rPr>
            </w:pPr>
            <w:r>
              <w:rPr>
                <w:rFonts w:hint="eastAsia" w:ascii="仿宋_GB2312" w:hAnsi="宋体" w:eastAsia="仿宋_GB2312" w:cs="宋体"/>
                <w:color w:val="000000"/>
                <w:sz w:val="24"/>
                <w:szCs w:val="24"/>
                <w:lang w:val="en-US" w:eastAsia="zh-CN"/>
              </w:rPr>
              <w:t>新疆广播电视台</w:t>
            </w:r>
          </w:p>
        </w:tc>
        <w:tc>
          <w:tcPr>
            <w:tcW w:w="1762" w:type="dxa"/>
            <w:tcBorders>
              <w:top w:val="single" w:color="000000" w:sz="4" w:space="0"/>
              <w:left w:val="single" w:color="000000" w:sz="4" w:space="0"/>
              <w:bottom w:val="single" w:color="000000" w:sz="4" w:space="0"/>
              <w:right w:val="single" w:color="000000" w:sz="4" w:space="0"/>
            </w:tcBorders>
            <w:vAlign w:val="center"/>
          </w:tcPr>
          <w:p w14:paraId="6C7C2102">
            <w:pPr>
              <w:jc w:val="center"/>
              <w:rPr>
                <w:rFonts w:ascii="宋体" w:hAnsi="宋体" w:eastAsia="宋体" w:cs="宋体"/>
                <w:sz w:val="32"/>
                <w:szCs w:val="32"/>
              </w:rPr>
            </w:pPr>
            <w:r>
              <w:rPr>
                <w:rFonts w:hint="eastAsia" w:ascii="仿宋_GB2312" w:hAnsi="宋体" w:eastAsia="仿宋_GB2312" w:cs="宋体"/>
                <w:color w:val="000000"/>
                <w:sz w:val="32"/>
                <w:szCs w:val="32"/>
              </w:rPr>
              <w:t>刊播日期</w:t>
            </w:r>
          </w:p>
        </w:tc>
        <w:tc>
          <w:tcPr>
            <w:tcW w:w="3872" w:type="dxa"/>
            <w:tcBorders>
              <w:top w:val="single" w:color="000000" w:sz="4" w:space="0"/>
              <w:left w:val="single" w:color="000000" w:sz="4" w:space="0"/>
              <w:bottom w:val="single" w:color="000000" w:sz="4" w:space="0"/>
              <w:right w:val="single" w:color="000000" w:sz="4" w:space="0"/>
            </w:tcBorders>
            <w:vAlign w:val="center"/>
          </w:tcPr>
          <w:p w14:paraId="49D93B70">
            <w:pPr>
              <w:ind w:firstLine="960" w:firstLineChars="300"/>
              <w:rPr>
                <w:rFonts w:ascii="宋体" w:hAnsi="宋体" w:eastAsia="宋体" w:cs="宋体"/>
                <w:sz w:val="32"/>
                <w:szCs w:val="32"/>
              </w:rPr>
            </w:pPr>
            <w:r>
              <w:rPr>
                <w:rFonts w:hint="eastAsia" w:ascii="仿宋_GB2312" w:hAnsi="宋体" w:eastAsia="仿宋_GB2312" w:cs="宋体"/>
                <w:color w:val="000000"/>
                <w:sz w:val="32"/>
                <w:szCs w:val="32"/>
                <w:lang w:val="en-US" w:eastAsia="zh-CN"/>
              </w:rPr>
              <w:t>2024</w:t>
            </w:r>
            <w:r>
              <w:rPr>
                <w:rFonts w:hint="eastAsia" w:ascii="仿宋_GB2312" w:hAnsi="宋体" w:eastAsia="仿宋_GB2312" w:cs="宋体"/>
                <w:color w:val="000000"/>
                <w:sz w:val="32"/>
                <w:szCs w:val="32"/>
              </w:rPr>
              <w:t>年</w:t>
            </w:r>
            <w:r>
              <w:rPr>
                <w:rFonts w:hint="eastAsia" w:ascii="仿宋_GB2312" w:hAnsi="宋体" w:eastAsia="仿宋_GB2312" w:cs="宋体"/>
                <w:color w:val="000000"/>
                <w:sz w:val="32"/>
                <w:szCs w:val="32"/>
                <w:lang w:val="en-US" w:eastAsia="zh-CN"/>
              </w:rPr>
              <w:t>9</w:t>
            </w:r>
            <w:r>
              <w:rPr>
                <w:rFonts w:hint="eastAsia" w:ascii="仿宋_GB2312" w:hAnsi="宋体" w:eastAsia="仿宋_GB2312" w:cs="宋体"/>
                <w:color w:val="000000"/>
                <w:sz w:val="32"/>
                <w:szCs w:val="32"/>
              </w:rPr>
              <w:t>月</w:t>
            </w:r>
            <w:r>
              <w:rPr>
                <w:rFonts w:hint="eastAsia" w:ascii="仿宋_GB2312" w:hAnsi="宋体" w:eastAsia="仿宋_GB2312" w:cs="宋体"/>
                <w:color w:val="000000"/>
                <w:sz w:val="32"/>
                <w:szCs w:val="32"/>
                <w:lang w:val="en-US" w:eastAsia="zh-CN"/>
              </w:rPr>
              <w:t>11</w:t>
            </w:r>
            <w:r>
              <w:rPr>
                <w:rFonts w:hint="eastAsia" w:ascii="仿宋_GB2312" w:hAnsi="宋体" w:eastAsia="仿宋_GB2312" w:cs="宋体"/>
                <w:color w:val="000000"/>
                <w:sz w:val="32"/>
                <w:szCs w:val="32"/>
              </w:rPr>
              <w:t>日</w:t>
            </w:r>
          </w:p>
        </w:tc>
      </w:tr>
      <w:tr w14:paraId="31F7648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40" w:hRule="atLeast"/>
          <w:jc w:val="center"/>
        </w:trPr>
        <w:tc>
          <w:tcPr>
            <w:tcW w:w="2663" w:type="dxa"/>
            <w:tcBorders>
              <w:top w:val="single" w:color="000000" w:sz="4" w:space="0"/>
              <w:left w:val="single" w:color="000000" w:sz="4" w:space="0"/>
              <w:bottom w:val="single" w:color="000000" w:sz="4" w:space="0"/>
              <w:right w:val="single" w:color="000000" w:sz="4" w:space="0"/>
            </w:tcBorders>
            <w:vAlign w:val="center"/>
          </w:tcPr>
          <w:p w14:paraId="6A8317BB">
            <w:pPr>
              <w:jc w:val="center"/>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sz w:val="32"/>
                <w:szCs w:val="32"/>
              </w:rPr>
              <w:t>作品字数或时</w:t>
            </w:r>
            <w:r>
              <w:rPr>
                <w:rFonts w:hint="eastAsia" w:ascii="仿宋_GB2312" w:hAnsi="宋体" w:eastAsia="仿宋_GB2312" w:cs="宋体"/>
                <w:color w:val="000000"/>
                <w:sz w:val="32"/>
                <w:szCs w:val="32"/>
                <w:lang w:eastAsia="zh-CN"/>
              </w:rPr>
              <w:t>长</w:t>
            </w:r>
          </w:p>
        </w:tc>
        <w:tc>
          <w:tcPr>
            <w:tcW w:w="1803" w:type="dxa"/>
            <w:tcBorders>
              <w:top w:val="single" w:color="000000" w:sz="4" w:space="0"/>
              <w:left w:val="single" w:color="000000" w:sz="4" w:space="0"/>
              <w:bottom w:val="single" w:color="000000" w:sz="4" w:space="0"/>
              <w:right w:val="single" w:color="000000" w:sz="4" w:space="0"/>
            </w:tcBorders>
            <w:vAlign w:val="center"/>
          </w:tcPr>
          <w:p w14:paraId="32A02D6F">
            <w:pPr>
              <w:jc w:val="center"/>
              <w:rPr>
                <w:rFonts w:hint="default" w:ascii="仿宋_GB2312" w:hAnsi="宋体" w:eastAsia="仿宋_GB2312" w:cs="宋体"/>
                <w:color w:val="000000"/>
                <w:sz w:val="32"/>
                <w:szCs w:val="32"/>
                <w:lang w:val="en-US" w:eastAsia="zh-CN"/>
              </w:rPr>
            </w:pPr>
            <w:r>
              <w:rPr>
                <w:rFonts w:hint="eastAsia" w:ascii="仿宋_GB2312" w:hAnsi="宋体" w:eastAsia="仿宋_GB2312" w:cs="宋体"/>
                <w:color w:val="000000"/>
                <w:sz w:val="32"/>
                <w:szCs w:val="32"/>
                <w:lang w:val="en-US" w:eastAsia="zh-CN"/>
              </w:rPr>
              <w:t>13分</w:t>
            </w:r>
          </w:p>
        </w:tc>
        <w:tc>
          <w:tcPr>
            <w:tcW w:w="1762" w:type="dxa"/>
            <w:tcBorders>
              <w:top w:val="single" w:color="000000" w:sz="4" w:space="0"/>
              <w:left w:val="single" w:color="000000" w:sz="4" w:space="0"/>
              <w:bottom w:val="single" w:color="000000" w:sz="4" w:space="0"/>
              <w:right w:val="single" w:color="000000" w:sz="4" w:space="0"/>
            </w:tcBorders>
            <w:vAlign w:val="center"/>
          </w:tcPr>
          <w:p w14:paraId="798A4EEF">
            <w:pPr>
              <w:jc w:val="center"/>
              <w:rPr>
                <w:rFonts w:ascii="宋体" w:hAnsi="宋体" w:eastAsia="宋体" w:cs="宋体"/>
                <w:sz w:val="32"/>
                <w:szCs w:val="32"/>
              </w:rPr>
            </w:pPr>
            <w:r>
              <w:rPr>
                <w:rFonts w:hint="eastAsia" w:ascii="仿宋_GB2312" w:hAnsi="宋体" w:eastAsia="仿宋_GB2312" w:cs="宋体"/>
                <w:color w:val="000000"/>
                <w:sz w:val="32"/>
                <w:szCs w:val="32"/>
              </w:rPr>
              <w:t>作品体裁</w:t>
            </w:r>
          </w:p>
        </w:tc>
        <w:tc>
          <w:tcPr>
            <w:tcW w:w="3872" w:type="dxa"/>
            <w:tcBorders>
              <w:top w:val="single" w:color="000000" w:sz="4" w:space="0"/>
              <w:left w:val="single" w:color="000000" w:sz="4" w:space="0"/>
              <w:bottom w:val="single" w:color="000000" w:sz="4" w:space="0"/>
              <w:right w:val="single" w:color="000000" w:sz="4" w:space="0"/>
            </w:tcBorders>
            <w:vAlign w:val="center"/>
          </w:tcPr>
          <w:p w14:paraId="17567FA5">
            <w:pPr>
              <w:jc w:val="center"/>
              <w:rPr>
                <w:rFonts w:hint="default" w:ascii="宋体" w:hAnsi="宋体" w:eastAsia="宋体" w:cs="宋体"/>
                <w:sz w:val="32"/>
                <w:szCs w:val="32"/>
                <w:lang w:val="en-US" w:eastAsia="zh-CN"/>
              </w:rPr>
            </w:pPr>
            <w:r>
              <w:rPr>
                <w:rFonts w:hint="eastAsia" w:ascii="仿宋_GB2312" w:hAnsi="宋体" w:eastAsia="仿宋_GB2312" w:cs="宋体"/>
                <w:color w:val="000000"/>
                <w:sz w:val="32"/>
                <w:szCs w:val="32"/>
                <w:lang w:val="en-US" w:eastAsia="zh-CN"/>
              </w:rPr>
              <w:t>新闻专题</w:t>
            </w:r>
          </w:p>
        </w:tc>
      </w:tr>
      <w:tr w14:paraId="6211CE7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50" w:hRule="atLeast"/>
          <w:jc w:val="center"/>
        </w:trPr>
        <w:tc>
          <w:tcPr>
            <w:tcW w:w="2663" w:type="dxa"/>
            <w:tcBorders>
              <w:top w:val="single" w:color="000000" w:sz="4" w:space="0"/>
              <w:left w:val="single" w:color="000000" w:sz="4" w:space="0"/>
              <w:bottom w:val="single" w:color="auto" w:sz="4" w:space="0"/>
              <w:right w:val="single" w:color="auto" w:sz="4" w:space="0"/>
            </w:tcBorders>
          </w:tcPr>
          <w:p w14:paraId="5C07CA5A">
            <w:pPr>
              <w:jc w:val="center"/>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sz w:val="32"/>
                <w:szCs w:val="32"/>
                <w:lang w:eastAsia="zh-CN"/>
              </w:rPr>
              <w:t>作品传播数据</w:t>
            </w:r>
          </w:p>
        </w:tc>
        <w:tc>
          <w:tcPr>
            <w:tcW w:w="7437" w:type="dxa"/>
            <w:gridSpan w:val="3"/>
            <w:tcBorders>
              <w:top w:val="single" w:color="000000" w:sz="4" w:space="0"/>
              <w:left w:val="single" w:color="auto" w:sz="4" w:space="0"/>
              <w:bottom w:val="single" w:color="auto" w:sz="4" w:space="0"/>
              <w:right w:val="single" w:color="000000" w:sz="4" w:space="0"/>
            </w:tcBorders>
          </w:tcPr>
          <w:p w14:paraId="2A4BBFA2">
            <w:pPr>
              <w:rPr>
                <w:rFonts w:hint="eastAsia" w:ascii="仿宋_GB2312" w:hAnsi="宋体" w:eastAsia="仿宋_GB2312" w:cs="宋体"/>
                <w:color w:val="000000"/>
                <w:sz w:val="32"/>
                <w:szCs w:val="32"/>
              </w:rPr>
            </w:pPr>
          </w:p>
        </w:tc>
      </w:tr>
      <w:tr w14:paraId="22F7DAD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691" w:hRule="atLeast"/>
          <w:jc w:val="center"/>
        </w:trPr>
        <w:tc>
          <w:tcPr>
            <w:tcW w:w="10100" w:type="dxa"/>
            <w:gridSpan w:val="4"/>
            <w:tcBorders>
              <w:top w:val="single" w:color="auto" w:sz="4" w:space="0"/>
              <w:left w:val="single" w:color="000000" w:sz="4" w:space="0"/>
              <w:bottom w:val="single" w:color="000000" w:sz="4" w:space="0"/>
              <w:right w:val="single" w:color="000000" w:sz="4" w:space="0"/>
            </w:tcBorders>
          </w:tcPr>
          <w:p w14:paraId="371DE38A">
            <w:pP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推荐理由（采写简况、作品评价、社会效果、传播数据、获奖情况）</w:t>
            </w:r>
          </w:p>
          <w:p w14:paraId="675BA646">
            <w:pPr>
              <w:ind w:firstLine="640" w:firstLineChars="200"/>
              <w:rPr>
                <w:rFonts w:hint="eastAsia" w:ascii="仿宋_GB2312" w:hAnsi="宋体" w:eastAsia="仿宋_GB2312" w:cs="宋体"/>
                <w:color w:val="000000"/>
                <w:sz w:val="32"/>
                <w:szCs w:val="32"/>
                <w:lang w:val="en-US" w:eastAsia="zh-CN"/>
              </w:rPr>
            </w:pPr>
            <w:r>
              <w:rPr>
                <w:rFonts w:hint="eastAsia" w:ascii="仿宋_GB2312" w:hAnsi="宋体" w:eastAsia="仿宋_GB2312" w:cs="宋体"/>
                <w:color w:val="000000"/>
                <w:sz w:val="32"/>
                <w:szCs w:val="32"/>
                <w:lang w:val="en-US" w:eastAsia="zh-CN"/>
              </w:rPr>
              <w:t>2024年秋收季，新疆阿克苏地区创新推进湖库清淤及泥沙资源化利用系统工程，不仅破解了南疆干旱区生态治理与耕地紧缺的双重难题，也为新疆保障国家粮食安全、实现生态治理与现代农业协同发展提供了一条新路径，这正是习近平总书记生态文明思想的生动实践。为了挖掘事件背后的深刻意义，记者三赴柯坪县清淤现场，走访受益农户、请教水利专家，以“经济账”“民生账”“生态账”三本账为蓝本，讲述了当地利用水库淤泥改良戈壁，新增高标准农田超万亩的生动故事，使柯坪实践成为诠释“绿水青山就是金山银山”的鲜活注脚。</w:t>
            </w:r>
          </w:p>
          <w:p w14:paraId="5FB6701A">
            <w:pPr>
              <w:ind w:firstLine="640" w:firstLineChars="200"/>
              <w:rPr>
                <w:rFonts w:hint="eastAsia" w:ascii="仿宋_GB2312" w:hAnsi="宋体" w:eastAsia="仿宋_GB2312" w:cs="宋体"/>
                <w:color w:val="000000"/>
                <w:sz w:val="32"/>
                <w:szCs w:val="32"/>
                <w:lang w:val="en-US" w:eastAsia="zh-CN"/>
              </w:rPr>
            </w:pPr>
            <w:r>
              <w:rPr>
                <w:rFonts w:hint="eastAsia" w:ascii="仿宋_GB2312" w:hAnsi="宋体" w:eastAsia="仿宋_GB2312" w:cs="宋体"/>
                <w:color w:val="000000"/>
                <w:sz w:val="32"/>
                <w:szCs w:val="32"/>
                <w:lang w:val="en-US" w:eastAsia="zh-CN"/>
              </w:rPr>
              <w:t>紧扣国策，弘扬时代精神。作品精准呼应“生态文明建设”与“耕地保护”国家战略，实现政策宣传润物无声、科技成果通俗解读、边疆故事深入人心，彰显新时代绿色发展理念。</w:t>
            </w:r>
          </w:p>
          <w:p w14:paraId="7B794336">
            <w:pPr>
              <w:ind w:firstLine="640" w:firstLineChars="200"/>
              <w:rPr>
                <w:rFonts w:hint="eastAsia" w:ascii="仿宋_GB2312" w:hAnsi="宋体" w:eastAsia="仿宋_GB2312" w:cs="宋体"/>
                <w:color w:val="000000"/>
                <w:sz w:val="32"/>
                <w:szCs w:val="32"/>
                <w:lang w:val="en-US" w:eastAsia="zh-CN"/>
              </w:rPr>
            </w:pPr>
            <w:r>
              <w:rPr>
                <w:rFonts w:hint="eastAsia" w:ascii="仿宋_GB2312" w:hAnsi="宋体" w:eastAsia="仿宋_GB2312" w:cs="宋体"/>
                <w:color w:val="000000"/>
                <w:sz w:val="32"/>
                <w:szCs w:val="32"/>
                <w:lang w:val="en-US" w:eastAsia="zh-CN"/>
              </w:rPr>
              <w:t>聚焦治理智慧，提供示范价值。报道深度挖掘政府与群众协同破解资源瓶颈的创新实践，推动公众认知从“清淤负担”转向“资源再生”，其系统治理思维和科技赋能经验，为全国生态脆弱区可持续发展提供重要借鉴。</w:t>
            </w:r>
          </w:p>
          <w:p w14:paraId="7746DFE5">
            <w:pPr>
              <w:ind w:firstLine="640" w:firstLineChars="200"/>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sz w:val="32"/>
                <w:szCs w:val="32"/>
                <w:lang w:val="en-US" w:eastAsia="zh-CN"/>
              </w:rPr>
              <w:t>节目经新疆卫视首发后，获人民网、新华网等主流媒体转载，全网播放量突破500万次；获得第三十五届新疆新闻奖一等奖，入围第三十五届中国新闻奖。</w:t>
            </w:r>
          </w:p>
        </w:tc>
      </w:tr>
    </w:tbl>
    <w:p w14:paraId="15D09C7F">
      <w:pPr>
        <w:ind w:right="240"/>
        <w:jc w:val="right"/>
        <w:rPr>
          <w:rFonts w:hint="eastAsia" w:ascii="黑体" w:eastAsia="黑体"/>
          <w:sz w:val="24"/>
          <w:szCs w:val="24"/>
        </w:rPr>
      </w:pPr>
      <w:r>
        <w:rPr>
          <w:rFonts w:hint="eastAsia" w:ascii="黑体" w:eastAsia="黑体"/>
          <w:sz w:val="24"/>
          <w:szCs w:val="24"/>
        </w:rPr>
        <w:t>中国记协202</w:t>
      </w:r>
      <w:r>
        <w:rPr>
          <w:rFonts w:ascii="黑体" w:eastAsia="黑体"/>
          <w:sz w:val="24"/>
          <w:szCs w:val="24"/>
        </w:rPr>
        <w:t>5</w:t>
      </w:r>
      <w:r>
        <w:rPr>
          <w:rFonts w:hint="eastAsia" w:ascii="黑体" w:eastAsia="黑体"/>
          <w:sz w:val="24"/>
          <w:szCs w:val="24"/>
        </w:rPr>
        <w:t>年统一印制</w:t>
      </w:r>
    </w:p>
    <w:p w14:paraId="5DB818F0">
      <w:pPr>
        <w:keepNext w:val="0"/>
        <w:keepLines w:val="0"/>
        <w:pageBreakBefore w:val="0"/>
        <w:widowControl w:val="0"/>
        <w:kinsoku/>
        <w:wordWrap/>
        <w:overflowPunct/>
        <w:topLinePunct w:val="0"/>
        <w:autoSpaceDE/>
        <w:autoSpaceDN/>
        <w:bidi w:val="0"/>
        <w:adjustRightInd/>
        <w:snapToGrid/>
        <w:spacing w:before="157" w:beforeLines="50" w:after="157" w:afterLines="50" w:line="540" w:lineRule="exact"/>
        <w:ind w:left="0" w:leftChars="0" w:firstLine="638" w:firstLineChars="145"/>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val="en-US" w:eastAsia="zh-CN"/>
        </w:rPr>
        <w:t>淤泥变沃土 戈壁造良田</w:t>
      </w:r>
    </w:p>
    <w:p w14:paraId="1F2FA05C">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lang w:val="en-US" w:eastAsia="zh-CN"/>
        </w:rPr>
      </w:pPr>
    </w:p>
    <w:p w14:paraId="7974FE6F">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主持人】观众朋友大家好，欢迎收看《今日聚焦》。进入9月，秋收如约而至。在天山南北这色彩斑斓秋的收图中，这张图片格外引人注意。这是9月8号，阿克苏地区柯坪县的一块青贮玉米试验田采收的场景，据测算，这块地的青贮玉米亩产达到了4吨以上，虽说这个成绩放在全疆不算起眼，但赚足人们眼球的是，这青贮玉米扎根的土壤竟然是水库里的清出来的淤泥。</w:t>
      </w:r>
    </w:p>
    <w:p w14:paraId="57A1BD1B">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【同期】柯坪县农业农村局党组副书记 局长 排尔合提·肉孜：</w:t>
      </w:r>
    </w:p>
    <w:p w14:paraId="52A51E49">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我们今年试验了450亩地 目前我们监测的情况来看 长势非常好初步（测产）青贮是4吨/亩左右</w:t>
      </w:r>
    </w:p>
    <w:p w14:paraId="7F21657F">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来到柯坪县盖孜力克镇这块玉米试验田时，绿色的农田与周围黄色的戈壁形成的强烈反差让人忍不住好奇：这地难道是种在戈壁滩上的？为了揭开谜底，当地工作人员带着我们来到了距离农田仅1公里处的苏巴什水库。</w:t>
      </w:r>
    </w:p>
    <w:p w14:paraId="4280C7DF">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【同期】柯坪县苏巴什水库水资源管理站党支部书记  黄峰 男：</w:t>
      </w:r>
    </w:p>
    <w:p w14:paraId="662416D8">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对我们柯坪县来说 我们所有的灌溉就靠这一座水库 2019年有一场二十年一遇的洪水 造成了我们水库一定的淤积</w:t>
      </w:r>
    </w:p>
    <w:p w14:paraId="58D51379">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苏巴什水库是柯坪县柯坪河上的控制性水利工程，自2018年以来就肩负着灌溉和防洪的双重使命。一边要滋养下游近7.2万亩的农田，一边还要抵御洪水带来的危险。然而岁月流转，这座水库也未能逃脱山区水库普遍面临的难题——淤积，这让水库的功能性、安全性和综合效益受到了严重影响。</w:t>
      </w:r>
    </w:p>
    <w:p w14:paraId="33CD00B8">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【同期】柯坪县苏巴什水库水资源管理站党支部书记  黄峰 男：</w:t>
      </w:r>
    </w:p>
    <w:p w14:paraId="07258A07">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防洪库容整个全部被淤掉了 就是一点水也蓄不了 如果不把它（淤泥）清出来 会影响我们的防洪安全</w:t>
      </w:r>
    </w:p>
    <w:p w14:paraId="3183CEBB">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苏巴什水库总库容1561万立方米，有610万立方米的空间已经被淤积的泥沙侵占，占总库容的40%，其中防洪库容的127万立方米，更是全部被泥沙侵占，防洪灌溉能力急剧下降。其实，水库、湖泊、河道的泥沙淤积是世界性难题，过去，常规的处理办法是主要依赖人力和一些基础的机械设备完成清淤。如果要把这610万立方米的淤泥，在冬季蓄水期到来前从水库里清理掉，就需要建设2400个标准游泳池容量大小的地方，来专门为这些淤泥提供“安身之处”。</w:t>
      </w:r>
    </w:p>
    <w:p w14:paraId="006242EA">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【同期】柯坪县苏巴什水库水资源管理站党支部书记  黄峰 男：</w:t>
      </w:r>
    </w:p>
    <w:p w14:paraId="565576C6">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水库要进行清淤 单独要有一个堆料场 我们山区特殊原因 堆料场没有一块合适的地方 不能在水库区范围内 要找个平地进行堆积 这样的话（淤泥）没有任何经济效益</w:t>
      </w:r>
    </w:p>
    <w:p w14:paraId="756793BB">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【正文】清淤既费时又费力，还投资巨大，这笔“经济账”也不是个小数目。</w:t>
      </w:r>
    </w:p>
    <w:p w14:paraId="5A92B3EF">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【同期】柯坪县水务有限责任公司总经理 朱米学 男：</w:t>
      </w:r>
    </w:p>
    <w:p w14:paraId="121F3742">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水库中的淤泥挖出来堆放在戈壁滩 工程造价在1.5亿元 新疆的沙尘天气相对较多 在大风天气会造成沙尘的污染 所以我们认为这种方案不可行</w:t>
      </w:r>
    </w:p>
    <w:p w14:paraId="22788955">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那么有没有极具“性价比”的处理方式呢？急需解决的淤泥处置问题，除了“经济账”要算，随之而来的“生态账”和“增收账”该怎么解决呢？带着这些问题，柯坪县在全国范围进行了一次考察调研，其中黄河的治理给当地干部带来了不少的启发。</w:t>
      </w:r>
    </w:p>
    <w:p w14:paraId="6A5DA22A">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【同期】柯坪县水务有限责任公司总经理 朱米学 男：</w:t>
      </w:r>
    </w:p>
    <w:p w14:paraId="3C26B3E5">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黄河当中的泥沙挖掘堆在岸堤上 它是增加了岸堤 降低了河床的高度 起到一定的防洪的作用 填出来泥沙用于河堤两岸的土地种植</w:t>
      </w:r>
    </w:p>
    <w:p w14:paraId="5FD0F963">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那么苏巴什水库里的泥沙也能不能利用起来？能不能造田呢？新疆根本没有清淤造田的经验可以参考，而在全国范围内，清淤造田的案例也是凤毛麟角。调研回来后，大家开始了讨论研究，大家一致认为，第一步就是要搞清这些淤泥有没有利用价值。</w:t>
      </w:r>
    </w:p>
    <w:p w14:paraId="46B03EF4">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【同期】柯坪县水务有限责任公司董事长   李杰 男：</w:t>
      </w:r>
    </w:p>
    <w:p w14:paraId="1FBF0B93">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把水库的淤泥 放这里适当晾晒一下 </w:t>
      </w:r>
    </w:p>
    <w:p w14:paraId="5CA40593">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记者：好像还有股味道</w:t>
      </w:r>
    </w:p>
    <w:p w14:paraId="1921C0F2">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对 这里面就是上游的羊粪 草渣 冲下来以后 一层一层淤积 发酵 沤烂了以后形成的</w:t>
      </w:r>
    </w:p>
    <w:p w14:paraId="7AF87F81">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记者：本身就是一个肥料</w:t>
      </w:r>
    </w:p>
    <w:p w14:paraId="01EEBE3D">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【同期】柯坪县水务有限责任公司总经理 朱米学 男：</w:t>
      </w:r>
    </w:p>
    <w:p w14:paraId="329890DB">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通过检测得出 我们的淤泥富含有机质 氮 磷 钾等 农作物生长的一些必需元素 是可以极大地促进农作物的生长</w:t>
      </w:r>
    </w:p>
    <w:p w14:paraId="2433F6A2">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看似没用的淤泥，其实浑身都是宝。可接下来，用淤泥来造田，这个田要怎么造？造在哪里？造一个什么样的田？这些问题也都需要一个一个地去讨论解决。通过反复论证，柯坪县逐渐理清了思路——在苏巴什水库下游约1公里范围的戈壁荒滩上，通过清淤回填的方式，建造万亩高标准农田。</w:t>
      </w:r>
    </w:p>
    <w:p w14:paraId="5870C9E1">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【同期】柯坪县水务有限责任公司总经理 朱米学 男：</w:t>
      </w:r>
    </w:p>
    <w:p w14:paraId="52126FFD">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我们水库现有的淤泥 存余量是610万立方米 而我们建设整个一期 10400亩高标准农田 只需要用到我们的淤泥 是在360万立方米左右 是完全可以满足我们 建设用地所需要的淤泥用量</w:t>
      </w:r>
    </w:p>
    <w:p w14:paraId="7CD28B00">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【正文】与此同时，当地联合新疆大学、新疆农业科学院、新疆水利水电研究院等专业院所，开始对造田的各项标准进行了科学论证。</w:t>
      </w:r>
    </w:p>
    <w:p w14:paraId="1C48D851">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【同期】柯坪县水务有限责任公司总经理 朱米学 男：</w:t>
      </w:r>
    </w:p>
    <w:p w14:paraId="79D227D2">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我们可以看到 在这个截面中间有个分层 上面就是现在回填的淤泥土 下面其实就是原有的戈壁滩的裸露石 淤积质沉降之后达到60至80公分 记者：为什么选择这样的厚度 建设成本如果高于80公分</w:t>
      </w:r>
    </w:p>
    <w:p w14:paraId="103D33B5">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每增加一公分 每一亩造地的成本要增加2000元 第二点就是我们要考虑农作物 必须要满足土壤生长的厚度 所以我们选择在60至80公分之间</w:t>
      </w:r>
    </w:p>
    <w:p w14:paraId="19D2FFBB">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【正文】随着前期的准备工作全部完成，清淤造田的“经济账”逐渐清晰了起来，2023年5月，柯坪县正式启动了清淤造田项目。</w:t>
      </w:r>
    </w:p>
    <w:p w14:paraId="196C73AB">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【现场】建设现场</w:t>
      </w:r>
    </w:p>
    <w:p w14:paraId="39002FF4">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【正文】作为新疆第一个清淤造田先行先试试点工程，国家和自治区也给予了大力的支持，建设资金陆续到位，而各学科的专家团队也来到了现场指导建设。</w:t>
      </w:r>
    </w:p>
    <w:p w14:paraId="524913DE">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【同期】柯坪县水务有限责任公司总经理 朱米学 男：</w:t>
      </w:r>
    </w:p>
    <w:p w14:paraId="2C6E0140">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总共分为12个地块 其中有两个机械沉砂池 苏巴什水库洪水直接进到我们沉沙池 沉淀之后就可以浇灌我们下面的地块</w:t>
      </w:r>
    </w:p>
    <w:p w14:paraId="1F6771F0">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【正文】清淤造田项目分两期建设，总共要实施清淤造田2万余亩。经过近一年的建设，柯坪县成功地在戈壁滩建起了8000亩的高标准农田，探索出了水利设施建设保养和农业种植“互补共赢”的新经验。</w:t>
      </w:r>
    </w:p>
    <w:p w14:paraId="3E9114FB">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【同期】新疆水利水电科学研究院正高级工程师   周富强 男： </w:t>
      </w:r>
    </w:p>
    <w:p w14:paraId="3DCC6A60">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柯坪县本身的土地资源有限 有广阔的戈壁荒滩 经过清淤造田 可以将原本无法耕种的土地转化为耕地 提高土地的利用率 增加耕地面积 从而提高农作物的产量 增加农民的收入 所以 通过算好了经济账 民生账 一举两得 让农业和水利实现了相互促进</w:t>
      </w:r>
    </w:p>
    <w:p w14:paraId="7C48A18D">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农田初成规模，柯坪县大面积开展了青贮玉米种植试验。今年5月，随着种子播撒入土，淤泥就展现出了它的魔力，几乎每一颗种子都顽强地破土而出。经测算，出苗率高达95%以上，亩产达到了4吨左右。但是，这样的投入和产出，真的划算吗？</w:t>
      </w:r>
    </w:p>
    <w:p w14:paraId="595BC82B">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【同期】柯坪县水务有限责任公司总经理 朱米学 男：</w:t>
      </w:r>
    </w:p>
    <w:p w14:paraId="61E97473">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柯坪县所属的耕地 基本上属于是三类地 通过我们试验田的种植基本上它的作物长势要高于三类田种植 通过验证充分论证了 我们清淤造地的科学性 可实施性</w:t>
      </w:r>
    </w:p>
    <w:p w14:paraId="65C1A615">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算清了经济账，接下来这些新造的田地谁来种？怎么种？这笔增收账也要算清楚。今年，柯坪县计划通过公司+农户的运作模式，逐步放开了淤泥新造农田的开发使用权，种植户雷小军就大胆承包了280亩地，成了第一个“吃螃蟹的人”。</w:t>
      </w:r>
    </w:p>
    <w:p w14:paraId="2ED26FAD">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【同期】柯坪县盖孜力克镇种植户 雷泽国：</w:t>
      </w:r>
    </w:p>
    <w:p w14:paraId="625E10B9">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每亩达到4吨左右 土壤改良来说 用水库（淤泥）造田 这个田相当不错</w:t>
      </w:r>
    </w:p>
    <w:p w14:paraId="4BB67F04">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项目建设有经济账，而雷泽国的心里也有一本自己的增收账。相比于过去，这片新农田将全面采取高标准农田建设模式，浇水用滴灌，田间作业全部实现机械化，而且由农业龙头企业全经营管理，全部算下来，每亩的种植成本可以减少近300元。</w:t>
      </w:r>
    </w:p>
    <w:p w14:paraId="693DC728">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【同期】柯坪县盖孜力克镇种植户 雷泽国：</w:t>
      </w:r>
    </w:p>
    <w:p w14:paraId="770C13C2">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（收入）可以达到23万元左右的样子 我的想法是 （今年）想种冬小麦达到4000亩地</w:t>
      </w:r>
    </w:p>
    <w:p w14:paraId="1EDA489F">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算清经济账、增收账，还有一本账，也需要重点考虑。柯坪县是典型的干旱区，年降雨量只有73.8毫米，而蒸发量高达2865毫米，因此只有平衡好各类用水需求，才能让有限的水资源效益实现最大化。可如今，通过清淤造田，当地将新增2万余亩地，这块地的浇灌用水从哪里？是否会加剧当地的用水压力呢？</w:t>
      </w:r>
    </w:p>
    <w:p w14:paraId="30BD06CD">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【现场】汽车行进</w:t>
      </w:r>
    </w:p>
    <w:p w14:paraId="7E0951E5">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【正文】这段时间，柯坪县水利局的工作人员沿着苏巴什水库上面进行了多次的考察调研，目的只有一个，摸清水库上游的水资源分布情况，找到新的水源。</w:t>
      </w:r>
    </w:p>
    <w:p w14:paraId="64039C4D">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【同期】柯坪县水利局党组副书记  局长 阿地力·沙木沙克 男：</w:t>
      </w:r>
    </w:p>
    <w:p w14:paraId="02A246C2">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通过我们的调研发现了驼峰峡谷这一带 发现了5处水源地 这5处水源地就有8个这样的泉眼 全部水量就是2500万立方米左右 50%还是用于生态保护 蒸发的和渗漏的50%左右的水 用管道直接输送到苏巴什水库 可以满足下面新造地的水量</w:t>
      </w:r>
    </w:p>
    <w:p w14:paraId="43D5D5C7">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一方面水库清淤腾库容，一方面寻找新的水源地开源节流，在科学水文数据的支持下优先保证生态用水，同时还要大力推进重点水利项目建设，柯坪县水资源利用水平得到进一步提升，有了水保障，清淤造田这笔生态帐不亏。</w:t>
      </w:r>
    </w:p>
    <w:p w14:paraId="6F527FB0">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【同期】柯坪县人民政府副县长 徐昊亮：</w:t>
      </w:r>
    </w:p>
    <w:p w14:paraId="088B802C">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通过清淤造地 增加了土地面积 我们经过测算 我们柯坪县 人均增加土地面积大概在0.5亩 通过龙头企业（带动） 可以增加就业2000人以上</w:t>
      </w:r>
    </w:p>
    <w:p w14:paraId="4739B7D6">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正文】新疆有大大小小的水库671座，灌溉面积达8913万亩。进入9月，绝大多数河流的主汛期陆续结束，一些水库出现了淤积，需要及时清淤。而今年在冬季蓄水期到来前，新疆先行先试启动了苏巴什水库、乌鲁瓦提水利枢纽、克孜尔水库等6座水库的排沙清淤工作。</w:t>
      </w:r>
    </w:p>
    <w:p w14:paraId="4E3557A5">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【同期】新疆水利水电科学研究院正高级工程师   周富强 男： </w:t>
      </w:r>
    </w:p>
    <w:p w14:paraId="610835A5">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新疆的大多数水库都是高山水库 也都存在淤积的问题 所以柯坪开展清淤造田的做法 经济账 生态账 增收账 这“三本账”就形成了 非常值得借鉴的一种经验 围绕新增农田的灌溉用水从哪里来 最终要让谁受益等这些问题 也都有了思路和方案</w:t>
      </w:r>
    </w:p>
    <w:p w14:paraId="5F8F3AE9">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主持人】湖库泥沙淤积是世界性难题，尤其极度干旱的南疆，是我国湖库淤积最严重的区域，水沙关系不协调的矛盾亟待解决，推进湖库清淤与泥沙资源利用已成为大势所趋。柯坪县通过走访调研、科学论证、试验试种，把淤泥变良田，算清“经济账”“增收账”“生态账”的背后，实则是当地干部为改革先行先试，奔着问题去，为发展打样的科学态度和勇气，也是及时响应社会需求和发展趋势的关键一步。未来，加快推动湖库清淤与泥沙资源利用还需要迈出更大一步。好的，今天的节目就是这样，更多内容请关注“丝路视听”客户端，感谢收看，明天再见！</w:t>
      </w:r>
    </w:p>
    <w:p w14:paraId="009A42F8">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w:t>
      </w:r>
    </w:p>
    <w:p w14:paraId="747962F0">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w:t>
      </w:r>
    </w:p>
    <w:p w14:paraId="23C6FF2B">
      <w:pPr>
        <w:keepNext w:val="0"/>
        <w:keepLines w:val="0"/>
        <w:pageBreakBefore w:val="0"/>
        <w:widowControl w:val="0"/>
        <w:kinsoku/>
        <w:wordWrap/>
        <w:overflowPunct/>
        <w:topLinePunct w:val="0"/>
        <w:autoSpaceDE/>
        <w:autoSpaceDN/>
        <w:bidi w:val="0"/>
        <w:adjustRightInd/>
        <w:snapToGrid/>
        <w:spacing w:line="540" w:lineRule="exact"/>
        <w:ind w:left="0" w:leftChars="0" w:firstLine="406" w:firstLineChars="145"/>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w:t>
      </w:r>
    </w:p>
    <w:p w14:paraId="49538391">
      <w:pPr>
        <w:ind w:right="240"/>
        <w:jc w:val="right"/>
        <w:rPr>
          <w:rFonts w:hint="eastAsia" w:ascii="黑体" w:eastAsia="黑体"/>
          <w:sz w:val="24"/>
          <w:szCs w:val="24"/>
        </w:rPr>
      </w:pPr>
    </w:p>
    <w:sectPr>
      <w:headerReference r:id="rId3" w:type="default"/>
      <w:footerReference r:id="rId4" w:type="default"/>
      <w:type w:val="continuous"/>
      <w:pgSz w:w="11900" w:h="16838"/>
      <w:pgMar w:top="2098" w:right="1531" w:bottom="1984" w:left="1531" w:header="600" w:footer="960" w:gutter="0"/>
      <w:pgNumType w:start="9"/>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D433771-42F7-49A0-8763-17CE5326687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7B8517F-471E-4762-B9F1-499265EE2977}"/>
  </w:font>
  <w:font w:name="华文中宋">
    <w:panose1 w:val="02010600040101010101"/>
    <w:charset w:val="86"/>
    <w:family w:val="auto"/>
    <w:pitch w:val="default"/>
    <w:sig w:usb0="00000287" w:usb1="080F0000" w:usb2="00000000" w:usb3="00000000" w:csb0="0004009F" w:csb1="DFD70000"/>
    <w:embedRegular r:id="rId3" w:fontKey="{53DC2B9C-F9D2-4CEE-A1BB-2D3355A76471}"/>
  </w:font>
  <w:font w:name="仿宋_GB2312">
    <w:panose1 w:val="02010609030101010101"/>
    <w:charset w:val="86"/>
    <w:family w:val="modern"/>
    <w:pitch w:val="default"/>
    <w:sig w:usb0="00000001" w:usb1="080E0000" w:usb2="00000000" w:usb3="00000000" w:csb0="00040000" w:csb1="00000000"/>
    <w:embedRegular r:id="rId4" w:fontKey="{4DBB52A6-DF2F-4F9C-8DF9-4CE6E3D06C6B}"/>
  </w:font>
  <w:font w:name="方正小标宋_GBK">
    <w:panose1 w:val="03000509000000000000"/>
    <w:charset w:val="86"/>
    <w:family w:val="auto"/>
    <w:pitch w:val="default"/>
    <w:sig w:usb0="00000001" w:usb1="080E0000" w:usb2="00000000" w:usb3="00000000" w:csb0="00040000" w:csb1="00000000"/>
    <w:embedRegular r:id="rId5" w:fontKey="{B53B406E-94F9-4175-8B36-8EF582E14DEF}"/>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embedRegular r:id="rId6" w:fontKey="{7A157A08-ADD1-4BD0-8EA1-67E4E09624F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7CCCD">
    <w:pPr>
      <w:spacing w:line="216" w:lineRule="auto"/>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0874C">
    <w:pPr>
      <w:spacing w:line="216" w:lineRule="auto"/>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BD0BC8"/>
    <w:rsid w:val="000D6051"/>
    <w:rsid w:val="000F3AEA"/>
    <w:rsid w:val="00130042"/>
    <w:rsid w:val="001F0618"/>
    <w:rsid w:val="005343F3"/>
    <w:rsid w:val="005D0DC6"/>
    <w:rsid w:val="00715CAE"/>
    <w:rsid w:val="007E56D8"/>
    <w:rsid w:val="008D1DDE"/>
    <w:rsid w:val="008D3F8A"/>
    <w:rsid w:val="009F0BE0"/>
    <w:rsid w:val="00BA6D97"/>
    <w:rsid w:val="00BD0BC8"/>
    <w:rsid w:val="00C816AF"/>
    <w:rsid w:val="00D05D25"/>
    <w:rsid w:val="00D21833"/>
    <w:rsid w:val="00E30CED"/>
    <w:rsid w:val="00FF37A7"/>
    <w:rsid w:val="0EE67E08"/>
    <w:rsid w:val="1A5B66EB"/>
    <w:rsid w:val="1B856B54"/>
    <w:rsid w:val="363518AE"/>
    <w:rsid w:val="41934F12"/>
    <w:rsid w:val="447E4FEB"/>
    <w:rsid w:val="48927A1F"/>
    <w:rsid w:val="68E2799F"/>
    <w:rsid w:val="7599503F"/>
    <w:rsid w:val="7A255B77"/>
    <w:rsid w:val="7B890A5C"/>
    <w:rsid w:val="7CF54DB8"/>
    <w:rsid w:val="7D67B2A5"/>
    <w:rsid w:val="99FE8E32"/>
    <w:rsid w:val="A59B3170"/>
    <w:rsid w:val="BB32E27F"/>
    <w:rsid w:val="D50A4893"/>
    <w:rsid w:val="DFA33B44"/>
    <w:rsid w:val="F8CF8299"/>
    <w:rsid w:val="FDC8247F"/>
    <w:rsid w:val="FFBF6D40"/>
    <w:rsid w:val="FFDF9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8">
    <w:name w:val="页眉 字符"/>
    <w:basedOn w:val="7"/>
    <w:link w:val="4"/>
    <w:qFormat/>
    <w:uiPriority w:val="0"/>
    <w:rPr>
      <w:sz w:val="18"/>
      <w:szCs w:val="18"/>
    </w:rPr>
  </w:style>
  <w:style w:type="character" w:customStyle="1" w:styleId="9">
    <w:name w:val="页脚 字符"/>
    <w:basedOn w:val="7"/>
    <w:link w:val="3"/>
    <w:qFormat/>
    <w:uiPriority w:val="0"/>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604</Words>
  <Characters>617</Characters>
  <Lines>1</Lines>
  <Paragraphs>1</Paragraphs>
  <TotalTime>0</TotalTime>
  <ScaleCrop>false</ScaleCrop>
  <LinksUpToDate>false</LinksUpToDate>
  <CharactersWithSpaces>618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2024-04-11T00:17:00Z</dcterms:created>
  <dc:creator>INTSIG</dc:creator>
  <dc:description>Intsig Word Converter</dc:description>
  <cp:lastModifiedBy>邵国斌</cp:lastModifiedBy>
  <cp:lastPrinted>2025-09-12T07:52:00Z</cp:lastPrinted>
  <dcterms:modified xsi:type="dcterms:W3CDTF">2025-09-23T08:51:19Z</dcterms:modified>
  <dc:title>wordbuilder</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B99DFE401BEB4690A93EC4BF9C926E32_13</vt:lpwstr>
  </property>
  <property fmtid="{D5CDD505-2E9C-101B-9397-08002B2CF9AE}" pid="4" name="KSOTemplateDocerSaveRecord">
    <vt:lpwstr>eyJoZGlkIjoiMTA5NTA1YzM3YjdjYmMxNGFmMzdjZjM4NjNjZGU1ODkiLCJ1c2VySWQiOiIxMDE5NDQ2NDU4In0=</vt:lpwstr>
  </property>
</Properties>
</file>